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4EF28" w14:textId="6C46B6BA" w:rsidR="00314DAE" w:rsidRDefault="002301A7">
      <w:pPr>
        <w:spacing w:after="80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>
        <w:rPr>
          <w:rFonts w:ascii="Times New Roman" w:eastAsia="方正小标宋简体" w:hAnsi="Times New Roman" w:cs="Times New Roman"/>
          <w:sz w:val="36"/>
          <w:szCs w:val="36"/>
        </w:rPr>
        <w:t>《</w:t>
      </w:r>
      <w:bookmarkStart w:id="0" w:name="OLE_LINK1"/>
      <w:r>
        <w:rPr>
          <w:rFonts w:ascii="Times New Roman" w:eastAsia="方正小标宋简体" w:hAnsi="Times New Roman" w:cs="Times New Roman"/>
          <w:sz w:val="36"/>
          <w:szCs w:val="36"/>
        </w:rPr>
        <w:t>湿地松培育技术规程</w:t>
      </w:r>
      <w:bookmarkEnd w:id="0"/>
      <w:r>
        <w:rPr>
          <w:rFonts w:ascii="Times New Roman" w:eastAsia="方正小标宋简体" w:hAnsi="Times New Roman" w:cs="Times New Roman"/>
          <w:sz w:val="36"/>
          <w:szCs w:val="36"/>
        </w:rPr>
        <w:t>》</w:t>
      </w:r>
      <w:r w:rsidR="00280849">
        <w:rPr>
          <w:rFonts w:ascii="Times New Roman" w:eastAsia="方正小标宋简体" w:hAnsi="Times New Roman" w:cs="Times New Roman" w:hint="eastAsia"/>
          <w:sz w:val="36"/>
          <w:szCs w:val="36"/>
        </w:rPr>
        <w:t>修订</w:t>
      </w:r>
      <w:r>
        <w:rPr>
          <w:rFonts w:ascii="Times New Roman" w:eastAsia="方正小标宋简体" w:hAnsi="Times New Roman" w:cs="Times New Roman"/>
          <w:sz w:val="36"/>
          <w:szCs w:val="36"/>
        </w:rPr>
        <w:t>说明</w:t>
      </w:r>
    </w:p>
    <w:p w14:paraId="43A4EF29" w14:textId="77777777" w:rsidR="00314DAE" w:rsidRDefault="002301A7">
      <w:pPr>
        <w:pStyle w:val="1"/>
        <w:ind w:firstLineChars="200" w:firstLine="640"/>
        <w:rPr>
          <w:rFonts w:ascii="Times New Roman" w:eastAsia="黑体" w:hAnsi="Times New Roman" w:cs="Times New Roman"/>
          <w:color w:val="auto"/>
          <w:sz w:val="32"/>
          <w:szCs w:val="32"/>
        </w:rPr>
      </w:pPr>
      <w:r>
        <w:rPr>
          <w:rFonts w:ascii="Times New Roman" w:eastAsia="黑体" w:hAnsi="Times New Roman" w:cs="Times New Roman"/>
          <w:color w:val="auto"/>
          <w:sz w:val="32"/>
          <w:szCs w:val="32"/>
        </w:rPr>
        <w:t>一、</w:t>
      </w:r>
      <w:r>
        <w:rPr>
          <w:rFonts w:ascii="Times New Roman" w:eastAsia="黑体" w:hAnsi="Times New Roman" w:cs="Times New Roman"/>
          <w:color w:val="auto"/>
          <w:sz w:val="32"/>
          <w:szCs w:val="32"/>
        </w:rPr>
        <w:t xml:space="preserve"> </w:t>
      </w:r>
      <w:r>
        <w:rPr>
          <w:rFonts w:ascii="Times New Roman" w:eastAsia="黑体" w:hAnsi="Times New Roman" w:cs="Times New Roman"/>
          <w:color w:val="auto"/>
          <w:sz w:val="32"/>
          <w:szCs w:val="32"/>
        </w:rPr>
        <w:t>工作简况</w:t>
      </w:r>
    </w:p>
    <w:p w14:paraId="43A4EF2A" w14:textId="77777777" w:rsidR="00314DAE" w:rsidRDefault="002301A7">
      <w:pPr>
        <w:spacing w:after="80" w:line="360" w:lineRule="auto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t>（一）任务来源</w:t>
      </w:r>
    </w:p>
    <w:p w14:paraId="43A4EF2B" w14:textId="18C44295" w:rsidR="00314DAE" w:rsidRDefault="002301A7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《湿地松培育技术规程》标准</w:t>
      </w:r>
      <w:r w:rsidR="00091D46">
        <w:rPr>
          <w:rFonts w:ascii="Times New Roman" w:eastAsia="仿宋_GB2312" w:hAnsi="Times New Roman" w:cs="Times New Roman" w:hint="eastAsia"/>
          <w:bCs/>
          <w:sz w:val="32"/>
          <w:szCs w:val="32"/>
        </w:rPr>
        <w:t>修订是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根据江西省林业局关于印发《江西省林业地方标准体系建设工作安排》的通知</w:t>
      </w:r>
      <w:r w:rsidR="00FA5C37" w:rsidRPr="00FA5C37">
        <w:rPr>
          <w:rFonts w:ascii="Times New Roman" w:eastAsia="仿宋_GB2312" w:hAnsi="Times New Roman" w:cs="Times New Roman" w:hint="eastAsia"/>
          <w:bCs/>
          <w:sz w:val="32"/>
          <w:szCs w:val="32"/>
        </w:rPr>
        <w:t>（赣林函字〔</w:t>
      </w:r>
      <w:r w:rsidR="00FA5C37" w:rsidRPr="00FA5C37">
        <w:rPr>
          <w:rFonts w:ascii="Times New Roman" w:eastAsia="仿宋_GB2312" w:hAnsi="Times New Roman" w:cs="Times New Roman" w:hint="eastAsia"/>
          <w:bCs/>
          <w:sz w:val="32"/>
          <w:szCs w:val="32"/>
        </w:rPr>
        <w:t>2023</w:t>
      </w:r>
      <w:r w:rsidR="00FA5C37" w:rsidRPr="00FA5C37">
        <w:rPr>
          <w:rFonts w:ascii="Times New Roman" w:eastAsia="仿宋_GB2312" w:hAnsi="Times New Roman" w:cs="Times New Roman" w:hint="eastAsia"/>
          <w:bCs/>
          <w:sz w:val="32"/>
          <w:szCs w:val="32"/>
        </w:rPr>
        <w:t>〕</w:t>
      </w:r>
      <w:r w:rsidR="00FA5C37" w:rsidRPr="00FA5C37">
        <w:rPr>
          <w:rFonts w:ascii="Times New Roman" w:eastAsia="仿宋_GB2312" w:hAnsi="Times New Roman" w:cs="Times New Roman" w:hint="eastAsia"/>
          <w:bCs/>
          <w:sz w:val="32"/>
          <w:szCs w:val="32"/>
        </w:rPr>
        <w:t xml:space="preserve">112 </w:t>
      </w:r>
      <w:r w:rsidR="00FA5C37" w:rsidRPr="00FA5C37">
        <w:rPr>
          <w:rFonts w:ascii="Times New Roman" w:eastAsia="仿宋_GB2312" w:hAnsi="Times New Roman" w:cs="Times New Roman" w:hint="eastAsia"/>
          <w:bCs/>
          <w:sz w:val="32"/>
          <w:szCs w:val="32"/>
        </w:rPr>
        <w:t>号）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要求，整合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DB36/T 1318-2020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《湿地松嫁接育苗技术规程》、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DB36/T 1319-2020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《湿地松林抚育经营技术规程》和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DB36/T 1569-2021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《湿地松粉蚧防治技术规程》等内容，增加扦插育苗、造林、采脂林割脂、其他病虫害防治等相关内容。</w:t>
      </w:r>
    </w:p>
    <w:p w14:paraId="43A4EF2C" w14:textId="77777777" w:rsidR="00314DAE" w:rsidRDefault="002301A7">
      <w:pPr>
        <w:spacing w:after="80" w:line="360" w:lineRule="auto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t>（二）起草单位</w:t>
      </w:r>
    </w:p>
    <w:p w14:paraId="43A4EF2D" w14:textId="3A037069" w:rsidR="00314DAE" w:rsidRDefault="002301A7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本标准由</w:t>
      </w:r>
      <w:r w:rsidRPr="00091D46">
        <w:rPr>
          <w:rFonts w:ascii="Times New Roman" w:eastAsia="仿宋_GB2312" w:hAnsi="Times New Roman" w:cs="Times New Roman"/>
          <w:bCs/>
          <w:sz w:val="32"/>
          <w:szCs w:val="32"/>
        </w:rPr>
        <w:t>江西省林业科学院、安福县武功山林场、景德镇市枫树山林场</w:t>
      </w:r>
      <w:r w:rsidR="005C19D7">
        <w:rPr>
          <w:rFonts w:ascii="Times New Roman" w:eastAsia="仿宋_GB2312" w:hAnsi="Times New Roman" w:cs="Times New Roman" w:hint="eastAsia"/>
          <w:bCs/>
          <w:sz w:val="32"/>
          <w:szCs w:val="32"/>
        </w:rPr>
        <w:t>、</w:t>
      </w:r>
      <w:r w:rsidRPr="00091D46">
        <w:rPr>
          <w:rFonts w:ascii="Times New Roman" w:eastAsia="仿宋_GB2312" w:hAnsi="Times New Roman" w:cs="Times New Roman"/>
          <w:bCs/>
          <w:sz w:val="32"/>
          <w:szCs w:val="32"/>
        </w:rPr>
        <w:t>永丰县官山林场</w:t>
      </w:r>
      <w:r w:rsidR="005C19D7">
        <w:rPr>
          <w:rFonts w:ascii="Times New Roman" w:eastAsia="仿宋_GB2312" w:hAnsi="Times New Roman" w:cs="Times New Roman" w:hint="eastAsia"/>
          <w:bCs/>
          <w:sz w:val="32"/>
          <w:szCs w:val="32"/>
        </w:rPr>
        <w:t>、永丰县李山林场</w:t>
      </w:r>
      <w:bookmarkStart w:id="1" w:name="_GoBack"/>
      <w:bookmarkEnd w:id="1"/>
      <w:r>
        <w:rPr>
          <w:rFonts w:ascii="Times New Roman" w:eastAsia="仿宋_GB2312" w:hAnsi="Times New Roman" w:cs="Times New Roman"/>
          <w:bCs/>
          <w:sz w:val="32"/>
          <w:szCs w:val="32"/>
        </w:rPr>
        <w:t>共同起草。</w:t>
      </w:r>
    </w:p>
    <w:p w14:paraId="43A4EF2E" w14:textId="77777777" w:rsidR="00314DAE" w:rsidRDefault="002301A7">
      <w:pPr>
        <w:spacing w:after="80" w:line="360" w:lineRule="auto"/>
        <w:ind w:firstLineChars="200" w:firstLine="640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sz w:val="32"/>
          <w:szCs w:val="32"/>
        </w:rPr>
        <w:t>（三）主要起草人</w:t>
      </w:r>
    </w:p>
    <w:p w14:paraId="6B2CB973" w14:textId="0D6A6D1E" w:rsidR="00590B0E" w:rsidRPr="00F237F6" w:rsidRDefault="006A1938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 w:rsidRPr="00F237F6">
        <w:rPr>
          <w:rFonts w:ascii="Times New Roman" w:eastAsia="仿宋_GB2312" w:hAnsi="Times New Roman" w:cs="Times New Roman" w:hint="eastAsia"/>
          <w:bCs/>
          <w:sz w:val="32"/>
          <w:szCs w:val="32"/>
        </w:rPr>
        <w:t>本标准由</w:t>
      </w:r>
      <w:r w:rsidR="007D28F0" w:rsidRPr="00F237F6">
        <w:rPr>
          <w:rFonts w:ascii="Times New Roman" w:eastAsia="仿宋_GB2312" w:hAnsi="Times New Roman" w:cs="Times New Roman" w:hint="eastAsia"/>
          <w:bCs/>
          <w:sz w:val="32"/>
          <w:szCs w:val="32"/>
        </w:rPr>
        <w:t>杨春霞和周光负责标准修订方案制定</w:t>
      </w:r>
      <w:r w:rsidR="00F71E4C">
        <w:rPr>
          <w:rFonts w:ascii="Times New Roman" w:eastAsia="仿宋_GB2312" w:hAnsi="Times New Roman" w:cs="Times New Roman" w:hint="eastAsia"/>
          <w:bCs/>
          <w:sz w:val="32"/>
          <w:szCs w:val="32"/>
        </w:rPr>
        <w:t>、</w:t>
      </w:r>
      <w:r w:rsidR="00734AE0" w:rsidRPr="00F237F6">
        <w:rPr>
          <w:rFonts w:ascii="Times New Roman" w:eastAsia="仿宋_GB2312" w:hAnsi="Times New Roman" w:cs="Times New Roman" w:hint="eastAsia"/>
          <w:bCs/>
          <w:sz w:val="32"/>
          <w:szCs w:val="32"/>
        </w:rPr>
        <w:t>执笔撰写</w:t>
      </w:r>
      <w:r w:rsidR="00F71E4C">
        <w:rPr>
          <w:rFonts w:ascii="Times New Roman" w:eastAsia="仿宋_GB2312" w:hAnsi="Times New Roman" w:cs="Times New Roman" w:hint="eastAsia"/>
          <w:bCs/>
          <w:sz w:val="32"/>
          <w:szCs w:val="32"/>
        </w:rPr>
        <w:t>与</w:t>
      </w:r>
      <w:r w:rsidR="00734AE0" w:rsidRPr="00F237F6">
        <w:rPr>
          <w:rFonts w:ascii="Times New Roman" w:eastAsia="仿宋_GB2312" w:hAnsi="Times New Roman" w:cs="Times New Roman" w:hint="eastAsia"/>
          <w:bCs/>
          <w:sz w:val="32"/>
          <w:szCs w:val="32"/>
        </w:rPr>
        <w:t>修订等工作，</w:t>
      </w:r>
      <w:r w:rsidR="008911E4" w:rsidRPr="00F237F6">
        <w:rPr>
          <w:rFonts w:ascii="Times New Roman" w:eastAsia="仿宋_GB2312" w:hAnsi="Times New Roman" w:cs="Times New Roman" w:hint="eastAsia"/>
          <w:bCs/>
          <w:sz w:val="32"/>
          <w:szCs w:val="32"/>
        </w:rPr>
        <w:t>丁伟、谷振军、罗坤水等</w:t>
      </w:r>
      <w:r w:rsidR="00A81F4F" w:rsidRPr="00F237F6">
        <w:rPr>
          <w:rFonts w:ascii="Times New Roman" w:eastAsia="仿宋_GB2312" w:hAnsi="Times New Roman" w:cs="Times New Roman" w:hint="eastAsia"/>
          <w:bCs/>
          <w:sz w:val="32"/>
          <w:szCs w:val="32"/>
        </w:rPr>
        <w:t>项目成员负责试验实施</w:t>
      </w:r>
      <w:r w:rsidR="007B2AF6" w:rsidRPr="00F237F6">
        <w:rPr>
          <w:rFonts w:ascii="Times New Roman" w:eastAsia="仿宋_GB2312" w:hAnsi="Times New Roman" w:cs="Times New Roman" w:hint="eastAsia"/>
          <w:bCs/>
          <w:sz w:val="32"/>
          <w:szCs w:val="32"/>
        </w:rPr>
        <w:t>与</w:t>
      </w:r>
      <w:r w:rsidR="00A81F4F" w:rsidRPr="00F237F6">
        <w:rPr>
          <w:rFonts w:ascii="Times New Roman" w:eastAsia="仿宋_GB2312" w:hAnsi="Times New Roman" w:cs="Times New Roman" w:hint="eastAsia"/>
          <w:bCs/>
          <w:sz w:val="32"/>
          <w:szCs w:val="32"/>
        </w:rPr>
        <w:t>数据收集</w:t>
      </w:r>
      <w:r w:rsidR="007B2AF6" w:rsidRPr="00F237F6">
        <w:rPr>
          <w:rFonts w:ascii="Times New Roman" w:eastAsia="仿宋_GB2312" w:hAnsi="Times New Roman" w:cs="Times New Roman" w:hint="eastAsia"/>
          <w:bCs/>
          <w:sz w:val="32"/>
          <w:szCs w:val="32"/>
        </w:rPr>
        <w:t>等工作。项目组成员信息如下：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841"/>
        <w:gridCol w:w="1782"/>
        <w:gridCol w:w="2551"/>
        <w:gridCol w:w="1843"/>
      </w:tblGrid>
      <w:tr w:rsidR="00314DAE" w:rsidRPr="00F237F6" w14:paraId="43A4EF34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2F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姓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30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31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职务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32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工作单位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33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任务分工</w:t>
            </w:r>
          </w:p>
        </w:tc>
      </w:tr>
      <w:tr w:rsidR="00314DAE" w:rsidRPr="00F237F6" w14:paraId="43A4EF3A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35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杨春霞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36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37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副所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研究员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38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江西省林业科学院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39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pacing w:val="-23"/>
                <w:sz w:val="24"/>
                <w:szCs w:val="24"/>
              </w:rPr>
              <w:t>主持</w:t>
            </w:r>
          </w:p>
        </w:tc>
      </w:tr>
      <w:tr w:rsidR="00314DAE" w:rsidRPr="00F237F6" w14:paraId="43A4EF40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3B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周光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3C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3D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助研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3E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江西省林业科学院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3F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试验实施</w:t>
            </w:r>
          </w:p>
        </w:tc>
      </w:tr>
      <w:tr w:rsidR="00314DAE" w:rsidRPr="00F237F6" w14:paraId="43A4EF46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41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丁伟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42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43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助研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44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江西省林业科学院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45" w14:textId="77777777" w:rsidR="00314DAE" w:rsidRPr="00F237F6" w:rsidRDefault="002301A7" w:rsidP="00F237F6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试验实施</w:t>
            </w:r>
          </w:p>
        </w:tc>
      </w:tr>
      <w:tr w:rsidR="00314DAE" w:rsidRPr="00F237F6" w14:paraId="43A4EF4C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47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谷振军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48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49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助研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4A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江西省林业科学院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4B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试验实施</w:t>
            </w:r>
          </w:p>
        </w:tc>
      </w:tr>
      <w:tr w:rsidR="00314DAE" w:rsidRPr="00F237F6" w14:paraId="43A4EF52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4D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罗坤水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4E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4F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所长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研究员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50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江西省林业科学院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51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试验实施</w:t>
            </w:r>
          </w:p>
        </w:tc>
      </w:tr>
      <w:tr w:rsidR="00314DAE" w:rsidRPr="00F237F6" w14:paraId="43A4EF58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53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杜强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54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55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所长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教授级高工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56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江西省林业科学院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57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协调实施</w:t>
            </w:r>
          </w:p>
        </w:tc>
      </w:tr>
      <w:tr w:rsidR="00314DAE" w:rsidRPr="00F237F6" w14:paraId="43A4EF5E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59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肖平江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5A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5B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所长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助工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5C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安福县武功山林场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5D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试验实施</w:t>
            </w:r>
          </w:p>
        </w:tc>
      </w:tr>
      <w:tr w:rsidR="00314DAE" w:rsidRPr="00F237F6" w14:paraId="43A4EF64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5F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龚斌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60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61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教授级高工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62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江西省林业科学院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63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试验实施</w:t>
            </w:r>
          </w:p>
        </w:tc>
      </w:tr>
      <w:tr w:rsidR="00314DAE" w:rsidRPr="00F237F6" w14:paraId="43A4EF6A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65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金明霞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66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67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副研究员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68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江西省林业科学院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69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试验实施</w:t>
            </w:r>
          </w:p>
        </w:tc>
      </w:tr>
      <w:tr w:rsidR="00314DAE" w:rsidRPr="00F237F6" w14:paraId="43A4EF70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6B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陈彬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6C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6D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科长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高工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6E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景德镇市枫树山林场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6F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试验实施</w:t>
            </w:r>
          </w:p>
        </w:tc>
      </w:tr>
      <w:tr w:rsidR="00314DAE" w:rsidRPr="00F237F6" w14:paraId="43A4EF76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71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江斌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72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73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科长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高工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74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永丰县官山林场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75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试验调查</w:t>
            </w:r>
          </w:p>
        </w:tc>
      </w:tr>
      <w:tr w:rsidR="00314DAE" w:rsidRPr="00F237F6" w14:paraId="43A4EF7C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77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傅爱平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78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男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79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工程师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7A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永丰县李山林场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7B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试验调查</w:t>
            </w:r>
          </w:p>
        </w:tc>
      </w:tr>
      <w:tr w:rsidR="00314DAE" w:rsidRPr="00F237F6" w14:paraId="43A4EF82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7D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刘倩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7E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7F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助研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80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江西省林业科学院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81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数据收集</w:t>
            </w:r>
          </w:p>
        </w:tc>
      </w:tr>
      <w:tr w:rsidR="00314DAE" w:rsidRPr="00F237F6" w14:paraId="43A4EF88" w14:textId="77777777" w:rsidTr="00C6544B">
        <w:trPr>
          <w:trHeight w:hRule="exact" w:val="601"/>
          <w:jc w:val="center"/>
        </w:trPr>
        <w:tc>
          <w:tcPr>
            <w:tcW w:w="1200" w:type="dxa"/>
            <w:shd w:val="clear" w:color="auto" w:fill="auto"/>
            <w:vAlign w:val="center"/>
          </w:tcPr>
          <w:p w14:paraId="43A4EF83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胡珊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A4EF84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1782" w:type="dxa"/>
            <w:shd w:val="clear" w:color="auto" w:fill="auto"/>
            <w:vAlign w:val="center"/>
          </w:tcPr>
          <w:p w14:paraId="43A4EF85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研究实习员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A4EF86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江西省林业科学院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A4EF87" w14:textId="77777777" w:rsidR="00314DAE" w:rsidRPr="00F237F6" w:rsidRDefault="002301A7" w:rsidP="00C6544B">
            <w:pPr>
              <w:spacing w:after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237F6">
              <w:rPr>
                <w:rFonts w:ascii="Times New Roman" w:eastAsia="宋体" w:hAnsi="Times New Roman" w:cs="Times New Roman"/>
                <w:sz w:val="24"/>
                <w:szCs w:val="24"/>
              </w:rPr>
              <w:t>数据收集</w:t>
            </w:r>
          </w:p>
        </w:tc>
      </w:tr>
    </w:tbl>
    <w:p w14:paraId="43A4EF89" w14:textId="5BDB2C1A" w:rsidR="00314DAE" w:rsidRDefault="002301A7">
      <w:pPr>
        <w:spacing w:before="200" w:after="80" w:line="360" w:lineRule="auto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二、修订标准的必要性和意义</w:t>
      </w:r>
    </w:p>
    <w:p w14:paraId="43A4EF8A" w14:textId="77777777" w:rsidR="00314DAE" w:rsidRDefault="002301A7">
      <w:pPr>
        <w:spacing w:after="0" w:line="360" w:lineRule="auto"/>
        <w:ind w:firstLineChars="200" w:firstLine="640"/>
        <w:jc w:val="both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湿地松（</w:t>
      </w:r>
      <w:r>
        <w:rPr>
          <w:rFonts w:ascii="Times New Roman" w:eastAsia="仿宋_GB2312" w:hAnsi="Times New Roman" w:cs="Times New Roman"/>
          <w:bCs/>
          <w:i/>
          <w:iCs/>
          <w:sz w:val="32"/>
          <w:szCs w:val="32"/>
        </w:rPr>
        <w:t>Pinus elliottii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）自上世纪三十年代引种我国以来，因其生长迅速、产脂量高、适应性强等特点，迅速发展成为我国南方地区重要的造林树种，尤其是江西省，现已成为全国湿地松造林面积最大的省份，拥有湿地松林面积近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60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万公顷，占全省人工林面积的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17.65%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，是江西省重要的材用、脂用和生态树种，其优质产品木材和松脂对促进我省的经济发展、财政增收和扩大林农就业方面发挥了巨大作用。</w:t>
      </w:r>
    </w:p>
    <w:p w14:paraId="43A4EF8B" w14:textId="532ABAEB" w:rsidR="00314DAE" w:rsidRDefault="002301A7">
      <w:pPr>
        <w:spacing w:after="0" w:line="360" w:lineRule="auto"/>
        <w:ind w:firstLineChars="200" w:firstLine="640"/>
        <w:jc w:val="both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lastRenderedPageBreak/>
        <w:t>然而，我省</w:t>
      </w:r>
      <w:r w:rsidR="00567C0B">
        <w:rPr>
          <w:rFonts w:ascii="Times New Roman" w:eastAsia="仿宋_GB2312" w:hAnsi="Times New Roman" w:cs="Times New Roman" w:hint="eastAsia"/>
          <w:bCs/>
          <w:sz w:val="32"/>
          <w:szCs w:val="32"/>
        </w:rPr>
        <w:t>在湿地松育苗和造林方面的标准较少，仅有嫁接</w:t>
      </w:r>
      <w:r w:rsidR="00CC4CD6">
        <w:rPr>
          <w:rFonts w:ascii="Times New Roman" w:eastAsia="仿宋_GB2312" w:hAnsi="Times New Roman" w:cs="Times New Roman" w:hint="eastAsia"/>
          <w:bCs/>
          <w:sz w:val="32"/>
          <w:szCs w:val="32"/>
        </w:rPr>
        <w:t>育苗技术规程和湿地松抚育技术规程等标准，</w:t>
      </w:r>
      <w:r w:rsidR="005F65A9">
        <w:rPr>
          <w:rFonts w:ascii="Times New Roman" w:eastAsia="仿宋_GB2312" w:hAnsi="Times New Roman" w:cs="Times New Roman" w:hint="eastAsia"/>
          <w:bCs/>
          <w:sz w:val="32"/>
          <w:szCs w:val="32"/>
        </w:rPr>
        <w:t>未见</w:t>
      </w:r>
      <w:r w:rsidR="00CC4CD6">
        <w:rPr>
          <w:rFonts w:ascii="Times New Roman" w:eastAsia="仿宋_GB2312" w:hAnsi="Times New Roman" w:cs="Times New Roman" w:hint="eastAsia"/>
          <w:bCs/>
          <w:sz w:val="32"/>
          <w:szCs w:val="32"/>
        </w:rPr>
        <w:t>从育苗到造林到抚育管理等</w:t>
      </w:r>
      <w:r w:rsidR="00232256">
        <w:rPr>
          <w:rFonts w:ascii="Times New Roman" w:eastAsia="仿宋_GB2312" w:hAnsi="Times New Roman" w:cs="Times New Roman" w:hint="eastAsia"/>
          <w:bCs/>
          <w:sz w:val="32"/>
          <w:szCs w:val="32"/>
        </w:rPr>
        <w:t>湿地松培育的</w:t>
      </w:r>
      <w:r w:rsidR="001D4932">
        <w:rPr>
          <w:rFonts w:ascii="Times New Roman" w:eastAsia="仿宋_GB2312" w:hAnsi="Times New Roman" w:cs="Times New Roman" w:hint="eastAsia"/>
          <w:bCs/>
          <w:sz w:val="32"/>
          <w:szCs w:val="32"/>
        </w:rPr>
        <w:t>地方标准。并且，我省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在湿地松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产业发展中</w:t>
      </w:r>
      <w:r w:rsidR="00DA26A0">
        <w:rPr>
          <w:rFonts w:ascii="Times New Roman" w:eastAsia="仿宋_GB2312" w:hAnsi="Times New Roman" w:cs="Times New Roman" w:hint="eastAsia"/>
          <w:bCs/>
          <w:sz w:val="32"/>
          <w:szCs w:val="32"/>
        </w:rPr>
        <w:t>存在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苗木质量残次不齐</w:t>
      </w:r>
      <w:r w:rsidR="00DA26A0">
        <w:rPr>
          <w:rFonts w:ascii="Times New Roman" w:eastAsia="仿宋_GB2312" w:hAnsi="Times New Roman" w:cs="Times New Roman" w:hint="eastAsia"/>
          <w:bCs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林分粗放经营</w:t>
      </w:r>
      <w:r w:rsidR="00DA26A0">
        <w:rPr>
          <w:rFonts w:ascii="Times New Roman" w:eastAsia="仿宋_GB2312" w:hAnsi="Times New Roman" w:cs="Times New Roman" w:hint="eastAsia"/>
          <w:bCs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缺少采脂林经营技术</w:t>
      </w:r>
      <w:r w:rsidR="00DA26A0">
        <w:rPr>
          <w:rFonts w:ascii="Times New Roman" w:eastAsia="仿宋_GB2312" w:hAnsi="Times New Roman" w:cs="Times New Roman" w:hint="eastAsia"/>
          <w:bCs/>
          <w:sz w:val="32"/>
          <w:szCs w:val="32"/>
        </w:rPr>
        <w:t>与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营养管理技术</w:t>
      </w:r>
      <w:r w:rsidR="00DA26A0">
        <w:rPr>
          <w:rFonts w:ascii="Times New Roman" w:eastAsia="仿宋_GB2312" w:hAnsi="Times New Roman" w:cs="Times New Roman" w:hint="eastAsia"/>
          <w:bCs/>
          <w:sz w:val="32"/>
          <w:szCs w:val="32"/>
        </w:rPr>
        <w:t>等问题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导致我省湿地松用材林和采脂林低产低质林面积多，总体经济效益不佳。为了提高我省湿地松林分质量，推广湿地松良种使用和定向培育技术，增加林农收益，项目组开展湿地松播种育苗、扦插繁育、嫁接繁育、造林、采脂林施肥、间伐等各项试验，完成了</w:t>
      </w:r>
      <w:bookmarkStart w:id="2" w:name="OLE_LINK3"/>
      <w:r w:rsidR="0062727C">
        <w:rPr>
          <w:rFonts w:ascii="Times New Roman" w:eastAsia="仿宋_GB2312" w:hAnsi="Times New Roman" w:cs="Times New Roman" w:hint="eastAsia"/>
          <w:bCs/>
          <w:sz w:val="32"/>
          <w:szCs w:val="32"/>
        </w:rPr>
        <w:t>多个省部级科研项目</w:t>
      </w:r>
      <w:bookmarkEnd w:id="2"/>
      <w:r w:rsidR="0062727C">
        <w:rPr>
          <w:rFonts w:ascii="Times New Roman" w:eastAsia="仿宋_GB2312" w:hAnsi="Times New Roman" w:cs="Times New Roman" w:hint="eastAsia"/>
          <w:bCs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优化了湿地松嫁接技术和扦插繁殖技术，总结出湿地松速生丰产、采脂林培育技术，并</w:t>
      </w:r>
      <w:r w:rsidR="00B25656">
        <w:rPr>
          <w:rFonts w:ascii="Times New Roman" w:eastAsia="仿宋_GB2312" w:hAnsi="Times New Roman" w:cs="Times New Roman" w:hint="eastAsia"/>
          <w:bCs/>
          <w:sz w:val="32"/>
          <w:szCs w:val="32"/>
        </w:rPr>
        <w:t>整合了</w:t>
      </w:r>
      <w:r w:rsidR="00B25656" w:rsidRPr="00B25656">
        <w:rPr>
          <w:rFonts w:ascii="Times New Roman" w:eastAsia="仿宋_GB2312" w:hAnsi="Times New Roman" w:cs="Times New Roman" w:hint="eastAsia"/>
          <w:bCs/>
          <w:sz w:val="32"/>
          <w:szCs w:val="32"/>
        </w:rPr>
        <w:t>DB36/T 1318-2020</w:t>
      </w:r>
      <w:r w:rsidR="00B25656" w:rsidRPr="00B25656">
        <w:rPr>
          <w:rFonts w:ascii="Times New Roman" w:eastAsia="仿宋_GB2312" w:hAnsi="Times New Roman" w:cs="Times New Roman" w:hint="eastAsia"/>
          <w:bCs/>
          <w:sz w:val="32"/>
          <w:szCs w:val="32"/>
        </w:rPr>
        <w:t>、</w:t>
      </w:r>
      <w:r w:rsidR="00B25656" w:rsidRPr="00B25656">
        <w:rPr>
          <w:rFonts w:ascii="Times New Roman" w:eastAsia="仿宋_GB2312" w:hAnsi="Times New Roman" w:cs="Times New Roman" w:hint="eastAsia"/>
          <w:bCs/>
          <w:sz w:val="32"/>
          <w:szCs w:val="32"/>
        </w:rPr>
        <w:t>DB36/T 1319-2020</w:t>
      </w:r>
      <w:r w:rsidR="00B25656" w:rsidRPr="00B25656">
        <w:rPr>
          <w:rFonts w:ascii="Times New Roman" w:eastAsia="仿宋_GB2312" w:hAnsi="Times New Roman" w:cs="Times New Roman" w:hint="eastAsia"/>
          <w:bCs/>
          <w:sz w:val="32"/>
          <w:szCs w:val="32"/>
        </w:rPr>
        <w:t>和</w:t>
      </w:r>
      <w:r w:rsidR="00B25656" w:rsidRPr="00B25656">
        <w:rPr>
          <w:rFonts w:ascii="Times New Roman" w:eastAsia="仿宋_GB2312" w:hAnsi="Times New Roman" w:cs="Times New Roman" w:hint="eastAsia"/>
          <w:bCs/>
          <w:sz w:val="32"/>
          <w:szCs w:val="32"/>
        </w:rPr>
        <w:t>DB36/T 1569-2021</w:t>
      </w:r>
      <w:r w:rsidR="00B25656">
        <w:rPr>
          <w:rFonts w:ascii="Times New Roman" w:eastAsia="仿宋_GB2312" w:hAnsi="Times New Roman" w:cs="Times New Roman" w:hint="eastAsia"/>
          <w:bCs/>
          <w:sz w:val="32"/>
          <w:szCs w:val="32"/>
        </w:rPr>
        <w:t>标准部分内容，增加了</w:t>
      </w:r>
      <w:r w:rsidR="002A18A2">
        <w:rPr>
          <w:rFonts w:ascii="Times New Roman" w:eastAsia="仿宋_GB2312" w:hAnsi="Times New Roman" w:cs="Times New Roman"/>
          <w:bCs/>
          <w:sz w:val="32"/>
          <w:szCs w:val="32"/>
        </w:rPr>
        <w:t>扦插育苗、造林、采脂林割脂等相关内容</w:t>
      </w:r>
      <w:r w:rsidR="002A18A2">
        <w:rPr>
          <w:rFonts w:ascii="Times New Roman" w:eastAsia="仿宋_GB2312" w:hAnsi="Times New Roman" w:cs="Times New Roman" w:hint="eastAsia"/>
          <w:bCs/>
          <w:sz w:val="32"/>
          <w:szCs w:val="32"/>
        </w:rPr>
        <w:t>，</w:t>
      </w:r>
      <w:r w:rsidR="00B55D86">
        <w:rPr>
          <w:rFonts w:ascii="Times New Roman" w:eastAsia="仿宋_GB2312" w:hAnsi="Times New Roman" w:cs="Times New Roman" w:hint="eastAsia"/>
          <w:bCs/>
          <w:sz w:val="32"/>
          <w:szCs w:val="32"/>
        </w:rPr>
        <w:t>修订</w:t>
      </w:r>
      <w:r w:rsidR="002A18A2">
        <w:rPr>
          <w:rFonts w:ascii="Times New Roman" w:eastAsia="仿宋_GB2312" w:hAnsi="Times New Roman" w:cs="Times New Roman" w:hint="eastAsia"/>
          <w:bCs/>
          <w:sz w:val="32"/>
          <w:szCs w:val="32"/>
        </w:rPr>
        <w:t>完成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了湿地松培育技术规程</w:t>
      </w:r>
      <w:r w:rsidR="00E16899">
        <w:rPr>
          <w:rFonts w:ascii="Times New Roman" w:eastAsia="仿宋_GB2312" w:hAnsi="Times New Roman" w:cs="Times New Roman" w:hint="eastAsia"/>
          <w:bCs/>
          <w:sz w:val="32"/>
          <w:szCs w:val="32"/>
        </w:rPr>
        <w:t>征求意见稿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，以期规范湿地松苗木质量标准和湿地松林分经营标准，为湿地松良种繁育与培育提供重要技术标准参考，提升苗木和林分质量，增加经济效益。</w:t>
      </w:r>
    </w:p>
    <w:p w14:paraId="43A4EF8C" w14:textId="555AD68D" w:rsidR="00314DAE" w:rsidRDefault="002301A7">
      <w:pPr>
        <w:spacing w:line="360" w:lineRule="auto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三、主要</w:t>
      </w:r>
      <w:r w:rsidR="00F44654">
        <w:rPr>
          <w:rFonts w:ascii="Times New Roman" w:eastAsia="黑体" w:hAnsi="Times New Roman" w:cs="Times New Roman" w:hint="eastAsia"/>
          <w:bCs/>
          <w:sz w:val="32"/>
          <w:szCs w:val="32"/>
        </w:rPr>
        <w:t>修订</w:t>
      </w:r>
      <w:r>
        <w:rPr>
          <w:rFonts w:ascii="Times New Roman" w:eastAsia="黑体" w:hAnsi="Times New Roman" w:cs="Times New Roman"/>
          <w:bCs/>
          <w:sz w:val="32"/>
          <w:szCs w:val="32"/>
        </w:rPr>
        <w:t>过程</w:t>
      </w:r>
    </w:p>
    <w:p w14:paraId="43A4EF8D" w14:textId="77777777" w:rsidR="00314DAE" w:rsidRDefault="002301A7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工作基础：标准编写项目组成员长期从事松类遗传育种与栽培研究，在松类有性繁殖和无性繁殖、速生丰产林和大径材培育等方面具有较好的理论基础和实践经验，加上林场职工在基层工作，拥有丰富的实践经验。起草单位</w:t>
      </w:r>
      <w:r>
        <w:rPr>
          <w:rFonts w:ascii="Times New Roman" w:eastAsia="仿宋_GB2312" w:hAnsi="Times New Roman" w:cs="Times New Roman"/>
          <w:bCs/>
          <w:sz w:val="32"/>
          <w:szCs w:val="32"/>
        </w:rPr>
        <w:lastRenderedPageBreak/>
        <w:t>江西省林业科学院承担并完成了省财政专项项目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bookmarkStart w:id="3" w:name="OLE_LINK6"/>
      <w:r>
        <w:rPr>
          <w:rFonts w:ascii="Times New Roman" w:eastAsia="仿宋_GB2312" w:hAnsi="Times New Roman" w:cs="Times New Roman"/>
          <w:bCs/>
          <w:sz w:val="32"/>
          <w:szCs w:val="32"/>
        </w:rPr>
        <w:t>湿地松和火炬松高世代优树资源收集与评价</w:t>
      </w:r>
      <w:bookmarkEnd w:id="3"/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、省财政专项项目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湿地松和火炬松采穗圃营建及扦插繁殖技术研究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、省林业局科技创新专项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国外松优良家系测定评价及体胚发生技术研究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省重点研发计划项目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湿地松采脂原料林提质增效关键技术研究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等科研项目，总结了湿地松实生苗繁育、扦插等无性繁育、造林、抚育管理、采脂林割脂等方面的研究成果，为本标准制定提供了坚实的技术依据。</w:t>
      </w:r>
    </w:p>
    <w:p w14:paraId="43A4EF8E" w14:textId="530EF472" w:rsidR="00314DAE" w:rsidRDefault="002301A7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组织</w:t>
      </w:r>
      <w:r w:rsidR="00EA004D">
        <w:rPr>
          <w:rFonts w:ascii="Times New Roman" w:eastAsia="仿宋_GB2312" w:hAnsi="Times New Roman" w:cs="Times New Roman" w:hint="eastAsia"/>
          <w:bCs/>
          <w:sz w:val="32"/>
          <w:szCs w:val="32"/>
        </w:rPr>
        <w:t>修订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：为</w:t>
      </w:r>
      <w:r w:rsidR="00EA004D">
        <w:rPr>
          <w:rFonts w:ascii="Times New Roman" w:eastAsia="仿宋_GB2312" w:hAnsi="Times New Roman" w:cs="Times New Roman" w:hint="eastAsia"/>
          <w:bCs/>
          <w:sz w:val="32"/>
          <w:szCs w:val="32"/>
        </w:rPr>
        <w:t>修订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本标准，起草单位江西省林科院成立了《</w:t>
      </w:r>
      <w:bookmarkStart w:id="4" w:name="OLE_LINK5"/>
      <w:r>
        <w:rPr>
          <w:rFonts w:ascii="Times New Roman" w:eastAsia="仿宋_GB2312" w:hAnsi="Times New Roman" w:cs="Times New Roman"/>
          <w:bCs/>
          <w:sz w:val="32"/>
          <w:szCs w:val="32"/>
        </w:rPr>
        <w:t>湿地松培育</w:t>
      </w:r>
      <w:bookmarkEnd w:id="4"/>
      <w:r>
        <w:rPr>
          <w:rFonts w:ascii="Times New Roman" w:eastAsia="仿宋_GB2312" w:hAnsi="Times New Roman" w:cs="Times New Roman"/>
          <w:bCs/>
          <w:sz w:val="32"/>
          <w:szCs w:val="32"/>
        </w:rPr>
        <w:t>技术规程》起草项目组，确定了项目负责人和标准编制原则，并按照</w:t>
      </w:r>
      <w:bookmarkStart w:id="5" w:name="OLE_LINK4"/>
      <w:r>
        <w:rPr>
          <w:rFonts w:ascii="Times New Roman" w:eastAsia="仿宋_GB2312" w:hAnsi="Times New Roman" w:cs="Times New Roman"/>
          <w:bCs/>
          <w:sz w:val="32"/>
          <w:szCs w:val="32"/>
        </w:rPr>
        <w:t>GB/T 1.1-2020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《标准化工作导则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第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1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部分：标准的结构和编写规则》</w:t>
      </w:r>
      <w:bookmarkEnd w:id="5"/>
      <w:r>
        <w:rPr>
          <w:rFonts w:ascii="Times New Roman" w:eastAsia="仿宋_GB2312" w:hAnsi="Times New Roman" w:cs="Times New Roman"/>
          <w:bCs/>
          <w:sz w:val="32"/>
          <w:szCs w:val="32"/>
        </w:rPr>
        <w:t>的规定，严格按照规程编写要求进行编写。项目组在</w:t>
      </w:r>
      <w:r w:rsidR="008F592F">
        <w:rPr>
          <w:rFonts w:ascii="Times New Roman" w:eastAsia="仿宋_GB2312" w:hAnsi="Times New Roman" w:cs="Times New Roman" w:hint="eastAsia"/>
          <w:bCs/>
          <w:sz w:val="32"/>
          <w:szCs w:val="32"/>
        </w:rPr>
        <w:t>整合</w:t>
      </w:r>
      <w:r w:rsidR="008F592F" w:rsidRPr="008F592F">
        <w:rPr>
          <w:rFonts w:ascii="Times New Roman" w:eastAsia="仿宋_GB2312" w:hAnsi="Times New Roman" w:cs="Times New Roman" w:hint="eastAsia"/>
          <w:bCs/>
          <w:sz w:val="32"/>
          <w:szCs w:val="32"/>
        </w:rPr>
        <w:t>DB36/T 1318-2020</w:t>
      </w:r>
      <w:r w:rsidR="008F592F" w:rsidRPr="008F592F">
        <w:rPr>
          <w:rFonts w:ascii="Times New Roman" w:eastAsia="仿宋_GB2312" w:hAnsi="Times New Roman" w:cs="Times New Roman" w:hint="eastAsia"/>
          <w:bCs/>
          <w:sz w:val="32"/>
          <w:szCs w:val="32"/>
        </w:rPr>
        <w:t>、</w:t>
      </w:r>
      <w:r w:rsidR="008F592F" w:rsidRPr="008F592F">
        <w:rPr>
          <w:rFonts w:ascii="Times New Roman" w:eastAsia="仿宋_GB2312" w:hAnsi="Times New Roman" w:cs="Times New Roman" w:hint="eastAsia"/>
          <w:bCs/>
          <w:sz w:val="32"/>
          <w:szCs w:val="32"/>
        </w:rPr>
        <w:t>DB36/T 1319-2020</w:t>
      </w:r>
      <w:r w:rsidR="008F592F" w:rsidRPr="008F592F">
        <w:rPr>
          <w:rFonts w:ascii="Times New Roman" w:eastAsia="仿宋_GB2312" w:hAnsi="Times New Roman" w:cs="Times New Roman" w:hint="eastAsia"/>
          <w:bCs/>
          <w:sz w:val="32"/>
          <w:szCs w:val="32"/>
        </w:rPr>
        <w:t>和</w:t>
      </w:r>
      <w:r w:rsidR="008F592F" w:rsidRPr="008F592F">
        <w:rPr>
          <w:rFonts w:ascii="Times New Roman" w:eastAsia="仿宋_GB2312" w:hAnsi="Times New Roman" w:cs="Times New Roman" w:hint="eastAsia"/>
          <w:bCs/>
          <w:sz w:val="32"/>
          <w:szCs w:val="32"/>
        </w:rPr>
        <w:t>DB36/T 1569-2021</w:t>
      </w:r>
      <w:r w:rsidR="008F592F">
        <w:rPr>
          <w:rFonts w:ascii="Times New Roman" w:eastAsia="仿宋_GB2312" w:hAnsi="Times New Roman" w:cs="Times New Roman" w:hint="eastAsia"/>
          <w:bCs/>
          <w:sz w:val="32"/>
          <w:szCs w:val="32"/>
        </w:rPr>
        <w:t>标准的基础上，结合</w:t>
      </w:r>
      <w:r w:rsidR="008E0469">
        <w:rPr>
          <w:rFonts w:ascii="Times New Roman" w:eastAsia="仿宋_GB2312" w:hAnsi="Times New Roman" w:cs="Times New Roman" w:hint="eastAsia"/>
          <w:bCs/>
          <w:sz w:val="32"/>
          <w:szCs w:val="32"/>
        </w:rPr>
        <w:t>项目组长期以来科研成果，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密切联系生产实际，广泛查阅资料，并征集有经验的基层单位和林农的意见建议，召集项目组成员对</w:t>
      </w:r>
      <w:r w:rsidR="00876F02">
        <w:rPr>
          <w:rFonts w:ascii="Times New Roman" w:eastAsia="仿宋_GB2312" w:hAnsi="Times New Roman" w:cs="Times New Roman" w:hint="eastAsia"/>
          <w:bCs/>
          <w:sz w:val="32"/>
          <w:szCs w:val="32"/>
        </w:rPr>
        <w:t>标准修订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的主要内容进行了深入、广泛、细致、认真讨论，形成了《火炬松培育技术规程》</w:t>
      </w:r>
      <w:r w:rsidR="00067F77">
        <w:rPr>
          <w:rFonts w:ascii="Times New Roman" w:eastAsia="仿宋_GB2312" w:hAnsi="Times New Roman" w:cs="Times New Roman" w:hint="eastAsia"/>
          <w:bCs/>
          <w:sz w:val="32"/>
          <w:szCs w:val="32"/>
        </w:rPr>
        <w:t>征求意见稿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。</w:t>
      </w:r>
    </w:p>
    <w:p w14:paraId="43A4EF8F" w14:textId="52F41519" w:rsidR="00314DAE" w:rsidRDefault="002301A7">
      <w:pPr>
        <w:spacing w:after="80" w:line="360" w:lineRule="auto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四、修订标准的原则和依据，与现行法律、法规、标准的关系</w:t>
      </w:r>
    </w:p>
    <w:p w14:paraId="43A4EF90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lastRenderedPageBreak/>
        <w:t>本标准编制遵循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科学、合理、适用和可行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原则，既考虑标准先进性又兼顾生产实际，力求做到科学规范、指标准确、可操作性强。既与国家、林业行业侧面标准接轨，又能指导生产，在生产上切实可行。</w:t>
      </w:r>
    </w:p>
    <w:p w14:paraId="43A4EF91" w14:textId="1D19C56D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本标准</w:t>
      </w:r>
      <w:r w:rsidR="00FD6E59">
        <w:rPr>
          <w:rFonts w:ascii="Times New Roman" w:eastAsia="仿宋_GB2312" w:hAnsi="Times New Roman" w:cs="Times New Roman" w:hint="eastAsia"/>
          <w:bCs/>
          <w:sz w:val="32"/>
          <w:szCs w:val="32"/>
        </w:rPr>
        <w:t>修订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时主要依据湿地松科研项目的试验结果和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和实际的生产实践经验，参照国内有关研究资料和科研成果，并依据现有标准包括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 xml:space="preserve">GB 6000 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主要造林树种苗木质量分级、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 xml:space="preserve">LY/T 2842 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林业常用药剂合理使用准则、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LY/T 1706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速生丰产用材林培育技术规程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LY/T 1824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湿地松、火炬松培育技术规程等。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本标准是在我国现行法律、法规框架下</w:t>
      </w:r>
      <w:r w:rsidR="00871A7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修订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的，同时注意与相关法律、法规和强制性标准之间的衔接。故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本标准与上述等国内现行法律、法规和标准相协调，不存在重复、交叉、不协调等矛盾。</w:t>
      </w:r>
    </w:p>
    <w:p w14:paraId="43A4EF92" w14:textId="77777777" w:rsidR="00314DAE" w:rsidRDefault="002301A7">
      <w:pPr>
        <w:spacing w:after="80" w:line="360" w:lineRule="auto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五、主要条款的说明</w:t>
      </w:r>
      <w:r>
        <w:rPr>
          <w:rFonts w:ascii="Times New Roman" w:eastAsia="黑体" w:hAnsi="Times New Roman" w:cs="Times New Roman"/>
          <w:bCs/>
          <w:sz w:val="32"/>
          <w:szCs w:val="32"/>
        </w:rPr>
        <w:t xml:space="preserve"> </w:t>
      </w:r>
    </w:p>
    <w:p w14:paraId="52949A0D" w14:textId="788425F4" w:rsidR="00E525E0" w:rsidRDefault="00E525E0">
      <w:pPr>
        <w:spacing w:line="360" w:lineRule="auto"/>
        <w:ind w:firstLineChars="200" w:firstLine="640"/>
        <w:rPr>
          <w:rFonts w:ascii="Times New Roman" w:eastAsia="楷体_GB2312" w:hAnsi="Times New Roman" w:cs="Times New Roman"/>
          <w:bCs/>
          <w:sz w:val="32"/>
          <w:szCs w:val="32"/>
        </w:rPr>
      </w:pPr>
      <w:r>
        <w:rPr>
          <w:rFonts w:ascii="Times New Roman" w:eastAsia="楷体_GB2312" w:hAnsi="Times New Roman" w:cs="Times New Roman" w:hint="eastAsia"/>
          <w:bCs/>
          <w:sz w:val="32"/>
          <w:szCs w:val="32"/>
        </w:rPr>
        <w:t>（一）本文件主要技术变化</w:t>
      </w:r>
    </w:p>
    <w:p w14:paraId="33CD19A0" w14:textId="1D306CE5" w:rsidR="00783917" w:rsidRPr="00783917" w:rsidRDefault="00783917" w:rsidP="002B3F43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78391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本文件</w:t>
      </w:r>
      <w:r w:rsidR="00D2125C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代替</w:t>
      </w:r>
      <w:r w:rsidRPr="0078391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DB36/T 1318-2020</w:t>
      </w:r>
      <w:r w:rsidRPr="0078391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《湿地松嫁接育苗技术规程》、</w:t>
      </w:r>
      <w:r w:rsidRPr="0078391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DB36/T 1319-2020</w:t>
      </w:r>
      <w:r w:rsidRPr="0078391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《湿地松林抚育经营技术规程》和</w:t>
      </w:r>
      <w:r w:rsidRPr="0078391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DB36/T 1569-2021</w:t>
      </w:r>
      <w:r w:rsidRPr="0078391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《湿地松粉蚧防治技术规程》</w:t>
      </w:r>
      <w:r w:rsidR="0028275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。</w:t>
      </w:r>
      <w:r w:rsidRPr="0078391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与</w:t>
      </w:r>
      <w:r w:rsidRPr="0078391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DB36/T 1318-2020</w:t>
      </w:r>
      <w:r w:rsidRPr="0078391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、</w:t>
      </w:r>
      <w:r w:rsidRPr="0078391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DB36/T 1319-2020</w:t>
      </w:r>
      <w:r w:rsidRPr="0078391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和</w:t>
      </w:r>
      <w:r w:rsidRPr="0078391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DB36/T 1569-2021</w:t>
      </w:r>
      <w:r w:rsidRPr="00783917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标准相比，除结构调整和编辑性改动外，主要整合内容和技术变化如下：</w:t>
      </w:r>
    </w:p>
    <w:p w14:paraId="1E6FC498" w14:textId="77777777" w:rsidR="002B3F43" w:rsidRPr="002B3F43" w:rsidRDefault="002B3F43" w:rsidP="002B3F43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a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）修订了标准名称；</w:t>
      </w:r>
    </w:p>
    <w:p w14:paraId="40D5AB19" w14:textId="77777777" w:rsidR="002B3F43" w:rsidRPr="002B3F43" w:rsidRDefault="002B3F43" w:rsidP="002B3F43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lastRenderedPageBreak/>
        <w:t>b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）整合了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DB36/T 1318-2020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嫁接苗培育技术（见第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5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章），增加了实生容器苗培育、扦插苗培育内容（见第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6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章和第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7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章）；</w:t>
      </w:r>
    </w:p>
    <w:p w14:paraId="6011BA8B" w14:textId="77777777" w:rsidR="002B3F43" w:rsidRPr="002B3F43" w:rsidRDefault="002B3F43" w:rsidP="002B3F43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c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）整合了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DB36/T 1569-2021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第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5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章中湿地松粉蚧防治技术（见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10.2.6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），增加了湿地松其他病虫害的防治方法（见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10.2.6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）；</w:t>
      </w:r>
    </w:p>
    <w:p w14:paraId="232E45E2" w14:textId="77777777" w:rsidR="002B3F43" w:rsidRPr="002B3F43" w:rsidRDefault="002B3F43" w:rsidP="002B3F43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d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）增加了湿地松造林技术（见第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9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章）；</w:t>
      </w:r>
    </w:p>
    <w:p w14:paraId="413BAB58" w14:textId="77777777" w:rsidR="002B3F43" w:rsidRPr="002B3F43" w:rsidRDefault="002B3F43" w:rsidP="002B3F43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e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）整合了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DB36/T 1319-2020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中第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4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章和第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5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章中的幼林抚育和间伐内容（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10.1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和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10.2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），增加了采脂林密度（见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10.2.4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）和大径材培育中修枝（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10.2.5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）；</w:t>
      </w:r>
    </w:p>
    <w:p w14:paraId="59B5A6BA" w14:textId="77777777" w:rsidR="002B3F43" w:rsidRDefault="002B3F43" w:rsidP="002B3F43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f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）增加了采脂林割脂（见第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11</w:t>
      </w:r>
      <w:r w:rsidRPr="002B3F43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章）。</w:t>
      </w:r>
    </w:p>
    <w:p w14:paraId="43A4EF93" w14:textId="7C1B8A42" w:rsidR="00314DAE" w:rsidRDefault="002301A7" w:rsidP="002B3F43">
      <w:pPr>
        <w:spacing w:after="0" w:line="360" w:lineRule="auto"/>
        <w:ind w:firstLineChars="200" w:firstLine="640"/>
        <w:rPr>
          <w:rFonts w:ascii="Times New Roman" w:eastAsia="楷体_GB2312" w:hAnsi="Times New Roman" w:cs="Times New Roman"/>
          <w:bCs/>
          <w:sz w:val="32"/>
          <w:szCs w:val="32"/>
        </w:rPr>
      </w:pPr>
      <w:r>
        <w:rPr>
          <w:rFonts w:ascii="Times New Roman" w:eastAsia="楷体_GB2312" w:hAnsi="Times New Roman" w:cs="Times New Roman"/>
          <w:bCs/>
          <w:sz w:val="32"/>
          <w:szCs w:val="32"/>
        </w:rPr>
        <w:t>（</w:t>
      </w:r>
      <w:r w:rsidR="002B3F43">
        <w:rPr>
          <w:rFonts w:ascii="Times New Roman" w:eastAsia="楷体_GB2312" w:hAnsi="Times New Roman" w:cs="Times New Roman" w:hint="eastAsia"/>
          <w:bCs/>
          <w:sz w:val="32"/>
          <w:szCs w:val="32"/>
        </w:rPr>
        <w:t>二</w:t>
      </w:r>
      <w:r>
        <w:rPr>
          <w:rFonts w:ascii="Times New Roman" w:eastAsia="楷体_GB2312" w:hAnsi="Times New Roman" w:cs="Times New Roman"/>
          <w:bCs/>
          <w:sz w:val="32"/>
          <w:szCs w:val="32"/>
        </w:rPr>
        <w:t>）本标准主要技术条款规定的内容</w:t>
      </w:r>
    </w:p>
    <w:p w14:paraId="43A4EF94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 xml:space="preserve">1. 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实生苗培育</w:t>
      </w:r>
    </w:p>
    <w:p w14:paraId="43A4EF95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本部分明确了湿地松种子采收、处理与保存、营养土配制及装袋、沙藏催芽、容器直播育苗、芽苗移栽及苗期管理等的条件和要求。</w:t>
      </w:r>
    </w:p>
    <w:p w14:paraId="43A4EF96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 xml:space="preserve">2. 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嫁接苗培育</w:t>
      </w:r>
    </w:p>
    <w:p w14:paraId="43A4EF97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本部分明确了嫁接砧木培育、穗条的采集与保存、嫁接及嫁接苗管理等的技术和要求。</w:t>
      </w:r>
    </w:p>
    <w:p w14:paraId="43A4EF98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 xml:space="preserve">3. 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扦插苗培育</w:t>
      </w:r>
    </w:p>
    <w:p w14:paraId="43A4EF99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本部分主要明确了采穗圃营建、穗条采集、扦插与插后管理等方面的技术要求。</w:t>
      </w:r>
    </w:p>
    <w:p w14:paraId="43A4EF9A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lastRenderedPageBreak/>
        <w:t xml:space="preserve">4. 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苗木出圃</w:t>
      </w:r>
    </w:p>
    <w:p w14:paraId="43A4EF9B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本部分规定了苗木出圃时间、实生苗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嫁接苗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扦插苗、苗木检验、起苗与运输等方面的条件和要求。</w:t>
      </w:r>
    </w:p>
    <w:p w14:paraId="43A4EF9C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 xml:space="preserve">5. 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造林</w:t>
      </w:r>
    </w:p>
    <w:p w14:paraId="43A4EF9D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本部分明确了造林地选择、整地、挖穴、栽植等方面的要求和方法。</w:t>
      </w:r>
    </w:p>
    <w:p w14:paraId="43A4EF9E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 xml:space="preserve">6. 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抚育管理</w:t>
      </w:r>
    </w:p>
    <w:p w14:paraId="43A4EF9F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本部分明确了湿地松幼林抚育、中林间伐和抚育等方面的技术和要求。</w:t>
      </w:r>
    </w:p>
    <w:p w14:paraId="43A4EFA0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 xml:space="preserve">7. 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采脂林割脂</w:t>
      </w:r>
    </w:p>
    <w:p w14:paraId="43A4EFA1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本部分明确了湿地松采脂胸径、采脂季节、采脂方法、营养管理等方面的技术和要求。</w:t>
      </w:r>
    </w:p>
    <w:p w14:paraId="43A4EFA2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 xml:space="preserve">8. 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主伐</w:t>
      </w:r>
    </w:p>
    <w:p w14:paraId="43A4EFA3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本部分明确了主伐年龄、主伐方式、采伐作业等方面的技术和要求。</w:t>
      </w:r>
    </w:p>
    <w:p w14:paraId="43A4EFA4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 xml:space="preserve">9. 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技术档案</w:t>
      </w:r>
    </w:p>
    <w:p w14:paraId="43A4EFA5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本部分主要参照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LY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／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T 2289</w:t>
      </w: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记录和管理技术档案。</w:t>
      </w:r>
    </w:p>
    <w:p w14:paraId="43A4EFA6" w14:textId="3B745E58" w:rsidR="00314DAE" w:rsidRDefault="002301A7">
      <w:pPr>
        <w:spacing w:line="360" w:lineRule="auto"/>
        <w:ind w:firstLineChars="200" w:firstLine="640"/>
        <w:rPr>
          <w:rFonts w:ascii="Times New Roman" w:eastAsia="楷体_GB2312" w:hAnsi="Times New Roman" w:cs="Times New Roman"/>
          <w:bCs/>
          <w:sz w:val="32"/>
          <w:szCs w:val="32"/>
        </w:rPr>
      </w:pPr>
      <w:r>
        <w:rPr>
          <w:rFonts w:ascii="Times New Roman" w:eastAsia="楷体_GB2312" w:hAnsi="Times New Roman" w:cs="Times New Roman"/>
          <w:bCs/>
          <w:sz w:val="32"/>
          <w:szCs w:val="32"/>
        </w:rPr>
        <w:t>（</w:t>
      </w:r>
      <w:r w:rsidR="002B3F43">
        <w:rPr>
          <w:rFonts w:ascii="Times New Roman" w:eastAsia="楷体_GB2312" w:hAnsi="Times New Roman" w:cs="Times New Roman" w:hint="eastAsia"/>
          <w:bCs/>
          <w:sz w:val="32"/>
          <w:szCs w:val="32"/>
        </w:rPr>
        <w:t>三</w:t>
      </w:r>
      <w:r>
        <w:rPr>
          <w:rFonts w:ascii="Times New Roman" w:eastAsia="楷体_GB2312" w:hAnsi="Times New Roman" w:cs="Times New Roman"/>
          <w:bCs/>
          <w:sz w:val="32"/>
          <w:szCs w:val="32"/>
        </w:rPr>
        <w:t>）主要试验的分析</w:t>
      </w:r>
    </w:p>
    <w:p w14:paraId="43A4EFA7" w14:textId="66861264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2"/>
          <w:sz w:val="32"/>
          <w:szCs w:val="32"/>
        </w:rPr>
        <w:t>本标准技术数据由项目组在完成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省林业厅林业科技创新项目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国外松引种测定及体胚发生技术研究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、省财政专项项目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湿地松和火炬松高世代优树资源收集与评价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湿地松和火炬松采穗圃营建及扦插繁殖技术研究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湿地松采脂</w:t>
      </w:r>
      <w:r>
        <w:rPr>
          <w:rFonts w:ascii="Times New Roman" w:eastAsia="仿宋_GB2312" w:hAnsi="Times New Roman" w:cs="Times New Roman"/>
          <w:bCs/>
          <w:sz w:val="32"/>
          <w:szCs w:val="32"/>
        </w:rPr>
        <w:lastRenderedPageBreak/>
        <w:t>原料林提质增效关键技术研究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基础上，通过总结试验结果、查阅相关文献资料和标准及归纳基层实践经验的基础上</w:t>
      </w:r>
      <w:r w:rsidR="00F005F3">
        <w:rPr>
          <w:rFonts w:ascii="Times New Roman" w:eastAsia="仿宋_GB2312" w:hAnsi="Times New Roman" w:cs="Times New Roman" w:hint="eastAsia"/>
          <w:bCs/>
          <w:sz w:val="32"/>
          <w:szCs w:val="32"/>
        </w:rPr>
        <w:t>修订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而成。</w:t>
      </w:r>
    </w:p>
    <w:p w14:paraId="43A4EFA8" w14:textId="77777777" w:rsidR="00314DAE" w:rsidRDefault="002301A7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嫁接时间</w:t>
      </w:r>
    </w:p>
    <w:p w14:paraId="43A4EFA9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选取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月下旬、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4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月下旬至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5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月初和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6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月下旬开展嫁接时间对嫁接成活率的影响。结果显示，嫁接时间对嫁接成活率的影响呈显著性差异，其中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4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月下旬至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5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月初嫁接成活率最高，达到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96.67%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，其次是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月下旬（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66.67%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），最后是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6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月下旬，仅为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36.67%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，说明嫁接最佳时间是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4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月下旬至月初，其次是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月下旬。</w:t>
      </w:r>
    </w:p>
    <w:p w14:paraId="43A4EFAA" w14:textId="77777777" w:rsidR="00314DAE" w:rsidRDefault="002301A7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嫁接方式</w:t>
      </w:r>
    </w:p>
    <w:p w14:paraId="43A4EFAB" w14:textId="77777777" w:rsidR="00314DAE" w:rsidRDefault="002301A7">
      <w:pPr>
        <w:spacing w:after="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嫁接采用接穗全包、接穗外露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1cm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和接穗外露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2cm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开展试验，结果表明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3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种嫁接方式呈显著性差异，接穗全包嫁接成活率最高，为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93.33%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，接穗外露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1cm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时，嫁接成活率为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70%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，而接穗外露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2cm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时嫁接成活率最低，仅为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43.33%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，说明接穗外露越长，嫁接成活率越低，故嫁接时接穗全包方式最佳。</w:t>
      </w:r>
    </w:p>
    <w:p w14:paraId="43A4EFAC" w14:textId="77777777" w:rsidR="00314DAE" w:rsidRDefault="002301A7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砧木底盘枝保留方式</w:t>
      </w:r>
    </w:p>
    <w:p w14:paraId="43A4EFAD" w14:textId="77777777" w:rsidR="00314DAE" w:rsidRDefault="002301A7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采用嫁接口下方留一轮底盘枝和不留底盘枝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2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种方式开展嫁接，统计嫁接成活率。结果表明，嫁接口下方留一轮底盘枝嫁接成活率较高，为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90.00%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，而不留底盘枝时嫁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lastRenderedPageBreak/>
        <w:t>接成活率则较低，为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60.00%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，故嫁接时砧木要留一轮底盘枝以提高嫁接成活率。</w:t>
      </w:r>
    </w:p>
    <w:p w14:paraId="43A4EFAE" w14:textId="5FF1A67E" w:rsidR="00314DAE" w:rsidRDefault="002301A7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湿地松不同无性系</w:t>
      </w:r>
      <w:r w:rsidR="001F6613">
        <w:rPr>
          <w:rFonts w:ascii="Times New Roman" w:eastAsia="仿宋_GB2312" w:hAnsi="Times New Roman" w:cs="Times New Roman" w:hint="eastAsia"/>
          <w:bCs/>
          <w:sz w:val="32"/>
          <w:szCs w:val="32"/>
        </w:rPr>
        <w:t>嫁接成活率</w:t>
      </w:r>
    </w:p>
    <w:p w14:paraId="43A4EFAF" w14:textId="77777777" w:rsidR="00314DAE" w:rsidRDefault="002301A7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统计来自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3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个不同地区的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26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株母树穗条的嫁接成活率，结果显示，不同湿地松无性系嫁接成活率存在显著差异，最高的可达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100%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，成活率低的仅为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50%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。</w:t>
      </w:r>
    </w:p>
    <w:p w14:paraId="43A4EFB0" w14:textId="77777777" w:rsidR="00314DAE" w:rsidRDefault="002301A7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不同季节湿地松扦插的差异</w:t>
      </w:r>
    </w:p>
    <w:p w14:paraId="43A4EFB1" w14:textId="77777777" w:rsidR="00314DAE" w:rsidRDefault="002301A7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在扦插大棚内进行，分别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4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14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日、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5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9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日、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7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9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日进行湿地松扦插。结果显示，在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5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9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日扦插的湿地松成活率最高，平均成活率为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55.8%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。因此，认为湿地松扦插的最佳季节为夏初（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5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月份）。</w:t>
      </w:r>
    </w:p>
    <w:p w14:paraId="43A4EFB4" w14:textId="39D3520D" w:rsidR="00314DAE" w:rsidRDefault="00607988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6</w:t>
      </w:r>
      <w:r w:rsidR="002301A7">
        <w:rPr>
          <w:rFonts w:ascii="Times New Roman" w:eastAsia="仿宋_GB2312" w:hAnsi="Times New Roman" w:cs="Times New Roman"/>
          <w:bCs/>
          <w:sz w:val="32"/>
          <w:szCs w:val="32"/>
        </w:rPr>
        <w:t>.</w:t>
      </w:r>
      <w:r w:rsidR="002301A7">
        <w:rPr>
          <w:rFonts w:ascii="Times New Roman" w:eastAsia="仿宋_GB2312" w:hAnsi="Times New Roman" w:cs="Times New Roman"/>
          <w:bCs/>
          <w:sz w:val="32"/>
          <w:szCs w:val="32"/>
        </w:rPr>
        <w:t>生根剂处理试验</w:t>
      </w:r>
    </w:p>
    <w:p w14:paraId="43A4EFB5" w14:textId="77777777" w:rsidR="00314DAE" w:rsidRDefault="002301A7">
      <w:pPr>
        <w:spacing w:after="80" w:line="360" w:lineRule="auto"/>
        <w:ind w:firstLineChars="200" w:firstLine="640"/>
        <w:jc w:val="both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采用高浓度生根剂速蘸法处理插穗基部，即分别用浓度为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1000mg·L</w:t>
      </w:r>
      <w:r>
        <w:rPr>
          <w:rFonts w:ascii="Times New Roman" w:eastAsia="仿宋_GB2312" w:hAnsi="Times New Roman" w:cs="Times New Roman"/>
          <w:bCs/>
          <w:sz w:val="32"/>
          <w:szCs w:val="32"/>
          <w:vertAlign w:val="superscript"/>
        </w:rPr>
        <w:t>-1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的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NAA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IBA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IAA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40%NAA+60%IBA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40%NAA+60%IAA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等不同种类的生根剂速蘸插穗基部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5min,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设置对照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CK2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，即用清水浸插穗基部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5min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。试验结果表明，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IAA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IBA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两种生根剂处理的插穗扦插成活率均高达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97.5%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。因此，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 xml:space="preserve"> 1000mg•L</w:t>
      </w:r>
      <w:r>
        <w:rPr>
          <w:rFonts w:ascii="Times New Roman" w:eastAsia="仿宋_GB2312" w:hAnsi="Times New Roman" w:cs="Times New Roman"/>
          <w:bCs/>
          <w:sz w:val="32"/>
          <w:szCs w:val="32"/>
          <w:vertAlign w:val="superscript"/>
        </w:rPr>
        <w:t>-1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的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IAA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生根剂速蘸插穗基部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5min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为湿地松扦插的最优生根剂处理方式。</w:t>
      </w:r>
    </w:p>
    <w:p w14:paraId="43A4EFB6" w14:textId="3A8D807E" w:rsidR="00314DAE" w:rsidRDefault="00607988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7</w:t>
      </w:r>
      <w:r w:rsidR="002301A7">
        <w:rPr>
          <w:rFonts w:ascii="Times New Roman" w:eastAsia="仿宋_GB2312" w:hAnsi="Times New Roman" w:cs="Times New Roman"/>
          <w:bCs/>
          <w:sz w:val="32"/>
          <w:szCs w:val="32"/>
        </w:rPr>
        <w:t>.</w:t>
      </w:r>
      <w:r w:rsidR="002301A7">
        <w:rPr>
          <w:rFonts w:ascii="Times New Roman" w:hAnsi="Times New Roman" w:cs="Times New Roman"/>
        </w:rPr>
        <w:t xml:space="preserve"> </w:t>
      </w:r>
      <w:r w:rsidR="002301A7">
        <w:rPr>
          <w:rFonts w:ascii="Times New Roman" w:eastAsia="仿宋_GB2312" w:hAnsi="Times New Roman" w:cs="Times New Roman"/>
          <w:bCs/>
          <w:sz w:val="32"/>
          <w:szCs w:val="32"/>
        </w:rPr>
        <w:t>扦插基质对比试验</w:t>
      </w:r>
    </w:p>
    <w:p w14:paraId="43A4EFB7" w14:textId="73B50586" w:rsidR="00314DAE" w:rsidRDefault="002301A7">
      <w:pPr>
        <w:spacing w:after="80" w:line="360" w:lineRule="auto"/>
        <w:ind w:firstLineChars="200" w:firstLine="640"/>
        <w:jc w:val="both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lastRenderedPageBreak/>
        <w:t>采用椰糠、草炭、蛭石、珍珠岩按一定体积百分比配成不同的混合基质。结果表明，混合轻基质（椰糠：草炭：蛭石：珍珠岩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=31.5:63.1:3.9:1.5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）</w:t>
      </w:r>
      <w:r w:rsidR="00454AEE">
        <w:rPr>
          <w:rFonts w:ascii="Times New Roman" w:eastAsia="仿宋_GB2312" w:hAnsi="Times New Roman" w:cs="Times New Roman" w:hint="eastAsia"/>
          <w:bCs/>
          <w:sz w:val="32"/>
          <w:szCs w:val="32"/>
        </w:rPr>
        <w:t>扦插效果最好，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平均扦插成活率达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86.1%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。</w:t>
      </w:r>
    </w:p>
    <w:p w14:paraId="43A4EFBA" w14:textId="5B6B771F" w:rsidR="00314DAE" w:rsidRDefault="00607988">
      <w:pPr>
        <w:spacing w:after="80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8</w:t>
      </w:r>
      <w:r w:rsidR="002301A7">
        <w:rPr>
          <w:rFonts w:ascii="Times New Roman" w:eastAsia="仿宋_GB2312" w:hAnsi="Times New Roman" w:cs="Times New Roman"/>
          <w:bCs/>
          <w:sz w:val="32"/>
          <w:szCs w:val="32"/>
        </w:rPr>
        <w:t>.</w:t>
      </w:r>
      <w:r w:rsidR="002301A7">
        <w:rPr>
          <w:rFonts w:ascii="Times New Roman" w:eastAsia="仿宋_GB2312" w:hAnsi="Times New Roman" w:cs="Times New Roman"/>
          <w:bCs/>
          <w:sz w:val="32"/>
          <w:szCs w:val="32"/>
        </w:rPr>
        <w:t>不同施肥措施对湿地松采脂林产脂量的影响</w:t>
      </w:r>
    </w:p>
    <w:p w14:paraId="43A4EFBB" w14:textId="77777777" w:rsidR="00314DAE" w:rsidRDefault="002301A7" w:rsidP="00E66EEF">
      <w:pPr>
        <w:spacing w:after="80" w:line="360" w:lineRule="auto"/>
        <w:ind w:firstLineChars="200" w:firstLine="640"/>
        <w:jc w:val="both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2022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2023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年连续两年对永丰县李山林场湿地松采脂林进行不同施肥试验，分别设置了氮肥（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N1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N2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N3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）、磷肥（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P1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P2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P3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）、配方肥料（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B1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B2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B3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）共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9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个处理，对照为不施肥处理（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CK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），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3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次重复，春季生长季开始前进行施肥，调查整个生长季的湿地松生长和松脂产量。结果表明，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P2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（钙镁磷肥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2.2kg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株</w:t>
      </w:r>
      <w:r>
        <w:rPr>
          <w:rFonts w:ascii="Times New Roman" w:eastAsia="仿宋_GB2312" w:hAnsi="Times New Roman" w:cs="Times New Roman"/>
          <w:bCs/>
          <w:sz w:val="32"/>
          <w:szCs w:val="32"/>
          <w:vertAlign w:val="superscript"/>
        </w:rPr>
        <w:t>-1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）处理的湿地松胸径生长最快，而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N3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（尿素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 xml:space="preserve">870g 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株</w:t>
      </w:r>
      <w:r>
        <w:rPr>
          <w:rFonts w:ascii="Times New Roman" w:eastAsia="仿宋_GB2312" w:hAnsi="Times New Roman" w:cs="Times New Roman"/>
          <w:bCs/>
          <w:sz w:val="32"/>
          <w:szCs w:val="32"/>
          <w:vertAlign w:val="superscript"/>
        </w:rPr>
        <w:t>-1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）和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B2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sz w:val="28"/>
          <w:szCs w:val="28"/>
        </w:rPr>
        <w:t>N</w:t>
      </w:r>
      <w:r>
        <w:rPr>
          <w:rFonts w:ascii="Times New Roman" w:eastAsia="仿宋_GB2312" w:hAnsi="Times New Roman" w:cs="Times New Roman"/>
          <w:sz w:val="28"/>
          <w:szCs w:val="28"/>
          <w:vertAlign w:val="subscript"/>
        </w:rPr>
        <w:t>60</w:t>
      </w:r>
      <w:r>
        <w:rPr>
          <w:rFonts w:ascii="Times New Roman" w:eastAsia="仿宋_GB2312" w:hAnsi="Times New Roman" w:cs="Times New Roman"/>
          <w:sz w:val="28"/>
          <w:szCs w:val="28"/>
        </w:rPr>
        <w:t>P</w:t>
      </w:r>
      <w:r>
        <w:rPr>
          <w:rFonts w:ascii="Times New Roman" w:eastAsia="仿宋_GB2312" w:hAnsi="Times New Roman" w:cs="Times New Roman"/>
          <w:sz w:val="28"/>
          <w:szCs w:val="28"/>
          <w:vertAlign w:val="subscript"/>
        </w:rPr>
        <w:t>120</w:t>
      </w:r>
      <w:r>
        <w:rPr>
          <w:rFonts w:ascii="Times New Roman" w:eastAsia="仿宋_GB2312" w:hAnsi="Times New Roman" w:cs="Times New Roman"/>
          <w:sz w:val="28"/>
          <w:szCs w:val="28"/>
        </w:rPr>
        <w:t>K</w:t>
      </w:r>
      <w:r>
        <w:rPr>
          <w:rFonts w:ascii="Times New Roman" w:eastAsia="仿宋_GB2312" w:hAnsi="Times New Roman" w:cs="Times New Roman"/>
          <w:sz w:val="28"/>
          <w:szCs w:val="28"/>
          <w:vertAlign w:val="subscript"/>
        </w:rPr>
        <w:t>60</w:t>
      </w:r>
      <w:r>
        <w:rPr>
          <w:rFonts w:ascii="Times New Roman" w:eastAsia="仿宋_GB2312" w:hAnsi="Times New Roman" w:cs="Times New Roman"/>
          <w:sz w:val="28"/>
          <w:szCs w:val="28"/>
        </w:rPr>
        <w:t>B</w:t>
      </w:r>
      <w:r>
        <w:rPr>
          <w:rFonts w:ascii="Times New Roman" w:eastAsia="仿宋_GB2312" w:hAnsi="Times New Roman" w:cs="Times New Roman"/>
          <w:sz w:val="28"/>
          <w:szCs w:val="28"/>
          <w:vertAlign w:val="subscript"/>
        </w:rPr>
        <w:t>0.9</w:t>
      </w:r>
      <w:r>
        <w:rPr>
          <w:rFonts w:ascii="Times New Roman" w:eastAsia="仿宋_GB2312" w:hAnsi="Times New Roman" w:cs="Times New Roman"/>
          <w:sz w:val="28"/>
          <w:szCs w:val="28"/>
        </w:rPr>
        <w:t>Cu</w:t>
      </w:r>
      <w:r>
        <w:rPr>
          <w:rFonts w:ascii="Times New Roman" w:eastAsia="仿宋_GB2312" w:hAnsi="Times New Roman" w:cs="Times New Roman"/>
          <w:sz w:val="28"/>
          <w:szCs w:val="28"/>
          <w:vertAlign w:val="subscript"/>
        </w:rPr>
        <w:t>0.9</w:t>
      </w:r>
      <w:r>
        <w:rPr>
          <w:rFonts w:ascii="Times New Roman" w:eastAsia="仿宋_GB2312" w:hAnsi="Times New Roman" w:cs="Times New Roman"/>
          <w:sz w:val="28"/>
          <w:szCs w:val="28"/>
        </w:rPr>
        <w:t>Zn</w:t>
      </w:r>
      <w:r>
        <w:rPr>
          <w:rFonts w:ascii="Times New Roman" w:eastAsia="仿宋_GB2312" w:hAnsi="Times New Roman" w:cs="Times New Roman"/>
          <w:sz w:val="28"/>
          <w:szCs w:val="28"/>
          <w:vertAlign w:val="subscript"/>
        </w:rPr>
        <w:t>0.9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 xml:space="preserve"> 2.5kg 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株</w:t>
      </w:r>
      <w:r>
        <w:rPr>
          <w:rFonts w:ascii="Times New Roman" w:eastAsia="仿宋_GB2312" w:hAnsi="Times New Roman" w:cs="Times New Roman"/>
          <w:bCs/>
          <w:sz w:val="32"/>
          <w:szCs w:val="32"/>
          <w:vertAlign w:val="superscript"/>
        </w:rPr>
        <w:t>-1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）处理的湿地松产量最高。</w:t>
      </w:r>
    </w:p>
    <w:p w14:paraId="53C031DD" w14:textId="77777777" w:rsidR="0026731D" w:rsidRPr="00DD74BE" w:rsidRDefault="0026731D" w:rsidP="00E03442">
      <w:pPr>
        <w:spacing w:after="120" w:line="360" w:lineRule="auto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 w:rsidRPr="00DD74BE">
        <w:rPr>
          <w:rFonts w:ascii="Times New Roman" w:eastAsia="黑体" w:hAnsi="Times New Roman" w:cs="Times New Roman" w:hint="eastAsia"/>
          <w:bCs/>
          <w:sz w:val="32"/>
          <w:szCs w:val="32"/>
        </w:rPr>
        <w:t>六．本标准实施的范围、条件等</w:t>
      </w:r>
    </w:p>
    <w:p w14:paraId="0F45C8A6" w14:textId="61851662" w:rsidR="0026731D" w:rsidRPr="00E66EEF" w:rsidRDefault="00E66EEF" w:rsidP="00E66EEF">
      <w:pPr>
        <w:spacing w:afterLines="50" w:after="156" w:line="360" w:lineRule="auto"/>
        <w:ind w:firstLineChars="200" w:firstLine="640"/>
        <w:rPr>
          <w:rFonts w:ascii="Times New Roman" w:eastAsia="楷体_GB2312" w:hAnsi="Times New Roman" w:cs="Times New Roman"/>
          <w:bCs/>
          <w:sz w:val="32"/>
          <w:szCs w:val="32"/>
        </w:rPr>
      </w:pPr>
      <w:r w:rsidRPr="00E66EEF">
        <w:rPr>
          <w:rFonts w:ascii="Times New Roman" w:eastAsia="楷体_GB2312" w:hAnsi="Times New Roman" w:cs="Times New Roman" w:hint="eastAsia"/>
          <w:bCs/>
          <w:sz w:val="32"/>
          <w:szCs w:val="32"/>
        </w:rPr>
        <w:t>（一）</w:t>
      </w:r>
      <w:r w:rsidR="0026731D" w:rsidRPr="00E66EEF">
        <w:rPr>
          <w:rFonts w:ascii="Times New Roman" w:eastAsia="楷体_GB2312" w:hAnsi="Times New Roman" w:cs="Times New Roman" w:hint="eastAsia"/>
          <w:bCs/>
          <w:sz w:val="32"/>
          <w:szCs w:val="32"/>
        </w:rPr>
        <w:t>标准推广应用范围</w:t>
      </w:r>
    </w:p>
    <w:p w14:paraId="032F4839" w14:textId="70B71F1D" w:rsidR="0026731D" w:rsidRPr="00DD74BE" w:rsidRDefault="0026731D" w:rsidP="00E66EEF">
      <w:pPr>
        <w:spacing w:afterLines="50" w:after="156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 w:rsidRPr="00DD74BE">
        <w:rPr>
          <w:rFonts w:ascii="Times New Roman" w:eastAsia="仿宋_GB2312" w:hAnsi="Times New Roman" w:cs="Times New Roman" w:hint="eastAsia"/>
          <w:bCs/>
          <w:sz w:val="32"/>
          <w:szCs w:val="32"/>
        </w:rPr>
        <w:t>本标准可在全江西</w:t>
      </w:r>
      <w:r w:rsidR="00E03442">
        <w:rPr>
          <w:rFonts w:ascii="Times New Roman" w:eastAsia="仿宋_GB2312" w:hAnsi="Times New Roman" w:cs="Times New Roman" w:hint="eastAsia"/>
          <w:bCs/>
          <w:sz w:val="32"/>
          <w:szCs w:val="32"/>
        </w:rPr>
        <w:t>全省范围内</w:t>
      </w:r>
      <w:r w:rsidRPr="00DD74BE">
        <w:rPr>
          <w:rFonts w:ascii="Times New Roman" w:eastAsia="仿宋_GB2312" w:hAnsi="Times New Roman" w:cs="Times New Roman" w:hint="eastAsia"/>
          <w:bCs/>
          <w:sz w:val="32"/>
          <w:szCs w:val="32"/>
        </w:rPr>
        <w:t>推广应用。</w:t>
      </w:r>
    </w:p>
    <w:p w14:paraId="47F263DC" w14:textId="06E9CC0D" w:rsidR="0026731D" w:rsidRPr="00E66EEF" w:rsidRDefault="00E66EEF" w:rsidP="00E66EEF">
      <w:pPr>
        <w:spacing w:afterLines="50" w:after="156" w:line="360" w:lineRule="auto"/>
        <w:ind w:firstLineChars="200" w:firstLine="640"/>
        <w:rPr>
          <w:rFonts w:ascii="Times New Roman" w:eastAsia="楷体_GB2312" w:hAnsi="Times New Roman" w:cs="Times New Roman"/>
          <w:bCs/>
          <w:sz w:val="32"/>
          <w:szCs w:val="32"/>
        </w:rPr>
      </w:pPr>
      <w:r w:rsidRPr="00E66EEF">
        <w:rPr>
          <w:rFonts w:ascii="Times New Roman" w:eastAsia="楷体_GB2312" w:hAnsi="Times New Roman" w:cs="Times New Roman" w:hint="eastAsia"/>
          <w:bCs/>
          <w:sz w:val="32"/>
          <w:szCs w:val="32"/>
        </w:rPr>
        <w:t>（二）</w:t>
      </w:r>
      <w:r w:rsidR="0026731D" w:rsidRPr="00E66EEF">
        <w:rPr>
          <w:rFonts w:ascii="Times New Roman" w:eastAsia="楷体_GB2312" w:hAnsi="Times New Roman" w:cs="Times New Roman" w:hint="eastAsia"/>
          <w:bCs/>
          <w:sz w:val="32"/>
          <w:szCs w:val="32"/>
        </w:rPr>
        <w:t>标准推广应用条件</w:t>
      </w:r>
    </w:p>
    <w:p w14:paraId="38EDCEC2" w14:textId="45B8566F" w:rsidR="0026731D" w:rsidRPr="00DD74BE" w:rsidRDefault="0026731D" w:rsidP="00E66EEF">
      <w:pPr>
        <w:spacing w:afterLines="50" w:after="156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 w:rsidRPr="00DD74BE">
        <w:rPr>
          <w:rFonts w:ascii="Times New Roman" w:eastAsia="仿宋_GB2312" w:hAnsi="Times New Roman" w:cs="Times New Roman" w:hint="eastAsia"/>
          <w:bCs/>
          <w:sz w:val="32"/>
          <w:szCs w:val="32"/>
        </w:rPr>
        <w:t>建议本标准作为推荐性标准贯彻与实施，由江西省质量技术监督局发布，</w:t>
      </w:r>
      <w:r w:rsidR="00E55CFD">
        <w:rPr>
          <w:rFonts w:ascii="Times New Roman" w:eastAsia="仿宋_GB2312" w:hAnsi="Times New Roman" w:cs="Times New Roman" w:hint="eastAsia"/>
          <w:bCs/>
          <w:sz w:val="32"/>
          <w:szCs w:val="32"/>
        </w:rPr>
        <w:t>修订</w:t>
      </w:r>
      <w:r w:rsidR="00E55CFD">
        <w:rPr>
          <w:rFonts w:ascii="Times New Roman" w:eastAsia="仿宋_GB2312" w:hAnsi="Times New Roman" w:cs="Times New Roman"/>
          <w:bCs/>
          <w:sz w:val="32"/>
          <w:szCs w:val="32"/>
        </w:rPr>
        <w:t>单位将组织全省范围内相关技术人员开展宣传、培训等工作，使其能应用于生产实践，以便更好地发挥其社会效益和经济效益</w:t>
      </w:r>
      <w:r w:rsidR="003A3983">
        <w:rPr>
          <w:rFonts w:ascii="Times New Roman" w:eastAsia="仿宋_GB2312" w:hAnsi="Times New Roman" w:cs="Times New Roman" w:hint="eastAsia"/>
          <w:bCs/>
          <w:sz w:val="32"/>
          <w:szCs w:val="32"/>
        </w:rPr>
        <w:t>，助力乡村振兴。</w:t>
      </w:r>
    </w:p>
    <w:p w14:paraId="43A4EFBE" w14:textId="2D41450B" w:rsidR="00314DAE" w:rsidRDefault="002301A7" w:rsidP="00E66EEF">
      <w:pPr>
        <w:spacing w:afterLines="50" w:after="156" w:line="360" w:lineRule="auto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lastRenderedPageBreak/>
        <w:t>七、</w:t>
      </w:r>
      <w:r w:rsidR="00012A3B">
        <w:rPr>
          <w:rFonts w:ascii="Times New Roman" w:eastAsia="黑体" w:hAnsi="Times New Roman" w:cs="Times New Roman" w:hint="eastAsia"/>
          <w:bCs/>
          <w:sz w:val="32"/>
          <w:szCs w:val="32"/>
        </w:rPr>
        <w:t>其他应说明的事项</w:t>
      </w:r>
    </w:p>
    <w:p w14:paraId="43A4EFBF" w14:textId="003654AC" w:rsidR="00314DAE" w:rsidRDefault="00012A3B" w:rsidP="00E66EEF">
      <w:pPr>
        <w:spacing w:afterLines="50" w:after="156"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无</w:t>
      </w:r>
      <w:r w:rsidR="002301A7">
        <w:rPr>
          <w:rFonts w:ascii="Times New Roman" w:eastAsia="仿宋_GB2312" w:hAnsi="Times New Roman" w:cs="Times New Roman"/>
          <w:bCs/>
          <w:sz w:val="32"/>
          <w:szCs w:val="32"/>
        </w:rPr>
        <w:t>。</w:t>
      </w:r>
    </w:p>
    <w:p w14:paraId="43A4EFC0" w14:textId="77777777" w:rsidR="00314DAE" w:rsidRDefault="00314DA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</w:p>
    <w:p w14:paraId="1E74D312" w14:textId="51774AFA" w:rsidR="00012A3B" w:rsidRDefault="00012A3B" w:rsidP="00012A3B">
      <w:pPr>
        <w:spacing w:line="360" w:lineRule="auto"/>
        <w:ind w:firstLineChars="1200" w:firstLine="38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江西省林业科学院</w:t>
      </w:r>
    </w:p>
    <w:p w14:paraId="43A4EFC1" w14:textId="248889A6" w:rsidR="00314DAE" w:rsidRDefault="00012A3B" w:rsidP="00BD13FE">
      <w:pPr>
        <w:spacing w:line="360" w:lineRule="auto"/>
        <w:ind w:firstLineChars="700" w:firstLine="22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《湿地松培育技术规程》</w:t>
      </w:r>
      <w:r w:rsidR="002301A7">
        <w:rPr>
          <w:rFonts w:ascii="Times New Roman" w:eastAsia="仿宋_GB2312" w:hAnsi="Times New Roman" w:cs="Times New Roman"/>
          <w:sz w:val="32"/>
          <w:szCs w:val="32"/>
        </w:rPr>
        <w:t>标准</w:t>
      </w:r>
      <w:r w:rsidR="00BA55FB">
        <w:rPr>
          <w:rFonts w:ascii="Times New Roman" w:eastAsia="仿宋_GB2312" w:hAnsi="Times New Roman" w:cs="Times New Roman" w:hint="eastAsia"/>
          <w:sz w:val="32"/>
          <w:szCs w:val="32"/>
        </w:rPr>
        <w:t>修订</w:t>
      </w:r>
      <w:r w:rsidR="00BD13FE">
        <w:rPr>
          <w:rFonts w:ascii="Times New Roman" w:eastAsia="仿宋_GB2312" w:hAnsi="Times New Roman" w:cs="Times New Roman" w:hint="eastAsia"/>
          <w:sz w:val="32"/>
          <w:szCs w:val="32"/>
        </w:rPr>
        <w:t>项目组</w:t>
      </w:r>
      <w:r w:rsidR="002301A7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3A4EFC2" w14:textId="67116805" w:rsidR="00314DAE" w:rsidRDefault="00012A3B">
      <w:pPr>
        <w:spacing w:line="360" w:lineRule="auto"/>
        <w:ind w:firstLineChars="1400" w:firstLine="4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2024-08-28</w:t>
      </w:r>
    </w:p>
    <w:p w14:paraId="43A4EFC3" w14:textId="77777777" w:rsidR="00314DAE" w:rsidRDefault="00314DAE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43A4EFC4" w14:textId="77777777" w:rsidR="00314DAE" w:rsidRDefault="00314DAE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sectPr w:rsidR="00314DA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123E2" w14:textId="77777777" w:rsidR="004F3452" w:rsidRDefault="004F3452">
      <w:pPr>
        <w:spacing w:line="240" w:lineRule="auto"/>
      </w:pPr>
      <w:r>
        <w:separator/>
      </w:r>
    </w:p>
  </w:endnote>
  <w:endnote w:type="continuationSeparator" w:id="0">
    <w:p w14:paraId="5016350E" w14:textId="77777777" w:rsidR="004F3452" w:rsidRDefault="004F34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4EFC9" w14:textId="77777777" w:rsidR="00314DAE" w:rsidRDefault="002301A7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A4EFCA" wp14:editId="43A4EFC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A4EFCC" w14:textId="77777777" w:rsidR="00314DAE" w:rsidRDefault="002301A7">
                          <w:pPr>
                            <w:pStyle w:val="a6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3A4EFCA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3A4EFCC" w14:textId="77777777" w:rsidR="00314DAE" w:rsidRDefault="002301A7">
                    <w:pPr>
                      <w:pStyle w:val="a6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2AF27" w14:textId="77777777" w:rsidR="004F3452" w:rsidRDefault="004F3452">
      <w:pPr>
        <w:spacing w:after="0"/>
      </w:pPr>
      <w:r>
        <w:separator/>
      </w:r>
    </w:p>
  </w:footnote>
  <w:footnote w:type="continuationSeparator" w:id="0">
    <w:p w14:paraId="18FFF145" w14:textId="77777777" w:rsidR="004F3452" w:rsidRDefault="004F34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568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NiZGQxZDgyMWIxMjNmNjI5ZDdkN2Y1NDFlOWEzMWEifQ=="/>
  </w:docVars>
  <w:rsids>
    <w:rsidRoot w:val="00172A27"/>
    <w:rsid w:val="00004C59"/>
    <w:rsid w:val="00012A3B"/>
    <w:rsid w:val="00031ED6"/>
    <w:rsid w:val="00033DA8"/>
    <w:rsid w:val="00054123"/>
    <w:rsid w:val="000565E6"/>
    <w:rsid w:val="000608D0"/>
    <w:rsid w:val="0006205A"/>
    <w:rsid w:val="00067F77"/>
    <w:rsid w:val="00070BFE"/>
    <w:rsid w:val="000730D5"/>
    <w:rsid w:val="0007665B"/>
    <w:rsid w:val="00086D1C"/>
    <w:rsid w:val="00091D46"/>
    <w:rsid w:val="00097522"/>
    <w:rsid w:val="000B6EC7"/>
    <w:rsid w:val="000C5540"/>
    <w:rsid w:val="000C6A51"/>
    <w:rsid w:val="000D73B4"/>
    <w:rsid w:val="000F2C52"/>
    <w:rsid w:val="00112282"/>
    <w:rsid w:val="00115515"/>
    <w:rsid w:val="001167BF"/>
    <w:rsid w:val="00125D6D"/>
    <w:rsid w:val="00140641"/>
    <w:rsid w:val="00144C9D"/>
    <w:rsid w:val="001467B6"/>
    <w:rsid w:val="001670E5"/>
    <w:rsid w:val="00172A27"/>
    <w:rsid w:val="001769B4"/>
    <w:rsid w:val="001966CF"/>
    <w:rsid w:val="001A1230"/>
    <w:rsid w:val="001A3D9F"/>
    <w:rsid w:val="001A5BDA"/>
    <w:rsid w:val="001B21FA"/>
    <w:rsid w:val="001C2F6A"/>
    <w:rsid w:val="001D4932"/>
    <w:rsid w:val="001F6613"/>
    <w:rsid w:val="002145A5"/>
    <w:rsid w:val="00220E55"/>
    <w:rsid w:val="002273D8"/>
    <w:rsid w:val="002301A7"/>
    <w:rsid w:val="00231722"/>
    <w:rsid w:val="00232256"/>
    <w:rsid w:val="00255CF6"/>
    <w:rsid w:val="00256D80"/>
    <w:rsid w:val="00264482"/>
    <w:rsid w:val="0026731D"/>
    <w:rsid w:val="00280849"/>
    <w:rsid w:val="00282757"/>
    <w:rsid w:val="00284194"/>
    <w:rsid w:val="00294D93"/>
    <w:rsid w:val="00295BD7"/>
    <w:rsid w:val="002A18A2"/>
    <w:rsid w:val="002A6A0A"/>
    <w:rsid w:val="002A6C34"/>
    <w:rsid w:val="002B3B20"/>
    <w:rsid w:val="002B3F43"/>
    <w:rsid w:val="002B7921"/>
    <w:rsid w:val="002D2999"/>
    <w:rsid w:val="002E52A8"/>
    <w:rsid w:val="002E56DC"/>
    <w:rsid w:val="002E7102"/>
    <w:rsid w:val="00314DAE"/>
    <w:rsid w:val="00317F87"/>
    <w:rsid w:val="00332A0D"/>
    <w:rsid w:val="003350E6"/>
    <w:rsid w:val="00335799"/>
    <w:rsid w:val="0033648F"/>
    <w:rsid w:val="003370CB"/>
    <w:rsid w:val="00343D78"/>
    <w:rsid w:val="00357DFD"/>
    <w:rsid w:val="00362738"/>
    <w:rsid w:val="00366C52"/>
    <w:rsid w:val="00394056"/>
    <w:rsid w:val="003941BB"/>
    <w:rsid w:val="003A3983"/>
    <w:rsid w:val="003D159F"/>
    <w:rsid w:val="003E7D9A"/>
    <w:rsid w:val="003F759E"/>
    <w:rsid w:val="00403B59"/>
    <w:rsid w:val="004057B8"/>
    <w:rsid w:val="0041159A"/>
    <w:rsid w:val="00411DA9"/>
    <w:rsid w:val="0044274D"/>
    <w:rsid w:val="00447123"/>
    <w:rsid w:val="0045043E"/>
    <w:rsid w:val="004528DE"/>
    <w:rsid w:val="00454AEE"/>
    <w:rsid w:val="0047044F"/>
    <w:rsid w:val="0047111E"/>
    <w:rsid w:val="00480A38"/>
    <w:rsid w:val="004819D3"/>
    <w:rsid w:val="00484F11"/>
    <w:rsid w:val="00485B0F"/>
    <w:rsid w:val="0049023C"/>
    <w:rsid w:val="00496A2A"/>
    <w:rsid w:val="004A51A0"/>
    <w:rsid w:val="004A6172"/>
    <w:rsid w:val="004E21BF"/>
    <w:rsid w:val="004F1600"/>
    <w:rsid w:val="004F3452"/>
    <w:rsid w:val="00502724"/>
    <w:rsid w:val="005226F6"/>
    <w:rsid w:val="005251A5"/>
    <w:rsid w:val="005350BB"/>
    <w:rsid w:val="00540B80"/>
    <w:rsid w:val="005458F5"/>
    <w:rsid w:val="00565B3B"/>
    <w:rsid w:val="00566AB1"/>
    <w:rsid w:val="00567C0B"/>
    <w:rsid w:val="00574D00"/>
    <w:rsid w:val="00590B0E"/>
    <w:rsid w:val="00591867"/>
    <w:rsid w:val="005A56E1"/>
    <w:rsid w:val="005A784C"/>
    <w:rsid w:val="005A7FFB"/>
    <w:rsid w:val="005B51E8"/>
    <w:rsid w:val="005B5C08"/>
    <w:rsid w:val="005B721C"/>
    <w:rsid w:val="005B7D03"/>
    <w:rsid w:val="005C19D7"/>
    <w:rsid w:val="005D09C3"/>
    <w:rsid w:val="005D27F7"/>
    <w:rsid w:val="005D584A"/>
    <w:rsid w:val="005D7F88"/>
    <w:rsid w:val="005F65A9"/>
    <w:rsid w:val="00600DB5"/>
    <w:rsid w:val="00607988"/>
    <w:rsid w:val="006133EA"/>
    <w:rsid w:val="00615E2E"/>
    <w:rsid w:val="0062727C"/>
    <w:rsid w:val="00627C3B"/>
    <w:rsid w:val="0063018F"/>
    <w:rsid w:val="00634E6E"/>
    <w:rsid w:val="00640F8F"/>
    <w:rsid w:val="006415D7"/>
    <w:rsid w:val="0064216E"/>
    <w:rsid w:val="00650A35"/>
    <w:rsid w:val="00654F03"/>
    <w:rsid w:val="006907EE"/>
    <w:rsid w:val="0069591F"/>
    <w:rsid w:val="006A1938"/>
    <w:rsid w:val="006A1A31"/>
    <w:rsid w:val="006A2C11"/>
    <w:rsid w:val="006B25BF"/>
    <w:rsid w:val="006C2936"/>
    <w:rsid w:val="006D25FB"/>
    <w:rsid w:val="006D7454"/>
    <w:rsid w:val="006E4351"/>
    <w:rsid w:val="006E4CE6"/>
    <w:rsid w:val="006F5AEF"/>
    <w:rsid w:val="006F78AC"/>
    <w:rsid w:val="00716299"/>
    <w:rsid w:val="00720602"/>
    <w:rsid w:val="00724665"/>
    <w:rsid w:val="00726290"/>
    <w:rsid w:val="00734AE0"/>
    <w:rsid w:val="00773424"/>
    <w:rsid w:val="00776141"/>
    <w:rsid w:val="00783917"/>
    <w:rsid w:val="007974CB"/>
    <w:rsid w:val="007976C7"/>
    <w:rsid w:val="007A3A35"/>
    <w:rsid w:val="007B2AF6"/>
    <w:rsid w:val="007B6DCC"/>
    <w:rsid w:val="007C109A"/>
    <w:rsid w:val="007D28F0"/>
    <w:rsid w:val="007E181B"/>
    <w:rsid w:val="007F1594"/>
    <w:rsid w:val="007F4E04"/>
    <w:rsid w:val="00807A10"/>
    <w:rsid w:val="00816243"/>
    <w:rsid w:val="00826E63"/>
    <w:rsid w:val="00832F05"/>
    <w:rsid w:val="00840690"/>
    <w:rsid w:val="00847820"/>
    <w:rsid w:val="00851107"/>
    <w:rsid w:val="00855185"/>
    <w:rsid w:val="008620BC"/>
    <w:rsid w:val="008708B6"/>
    <w:rsid w:val="00871A73"/>
    <w:rsid w:val="00876F02"/>
    <w:rsid w:val="008911E4"/>
    <w:rsid w:val="008A5DC9"/>
    <w:rsid w:val="008A66D9"/>
    <w:rsid w:val="008A6D6F"/>
    <w:rsid w:val="008B14B1"/>
    <w:rsid w:val="008C10E9"/>
    <w:rsid w:val="008C3594"/>
    <w:rsid w:val="008C4ACF"/>
    <w:rsid w:val="008E0469"/>
    <w:rsid w:val="008E0F9D"/>
    <w:rsid w:val="008E474C"/>
    <w:rsid w:val="008F592F"/>
    <w:rsid w:val="009042BC"/>
    <w:rsid w:val="00904AC2"/>
    <w:rsid w:val="009077F9"/>
    <w:rsid w:val="009122CD"/>
    <w:rsid w:val="009250B5"/>
    <w:rsid w:val="009307D3"/>
    <w:rsid w:val="009401A2"/>
    <w:rsid w:val="0095045B"/>
    <w:rsid w:val="00955DF4"/>
    <w:rsid w:val="00957C10"/>
    <w:rsid w:val="00960522"/>
    <w:rsid w:val="00965EE4"/>
    <w:rsid w:val="009669ED"/>
    <w:rsid w:val="00966D5A"/>
    <w:rsid w:val="00982688"/>
    <w:rsid w:val="009A60E8"/>
    <w:rsid w:val="009C4F5E"/>
    <w:rsid w:val="009C5905"/>
    <w:rsid w:val="009C6B8D"/>
    <w:rsid w:val="009E2BB3"/>
    <w:rsid w:val="009E3EE5"/>
    <w:rsid w:val="00A36615"/>
    <w:rsid w:val="00A52A0D"/>
    <w:rsid w:val="00A56B33"/>
    <w:rsid w:val="00A604DF"/>
    <w:rsid w:val="00A61532"/>
    <w:rsid w:val="00A81F4F"/>
    <w:rsid w:val="00A85D91"/>
    <w:rsid w:val="00AB2A02"/>
    <w:rsid w:val="00AC0E54"/>
    <w:rsid w:val="00AC1483"/>
    <w:rsid w:val="00AC6716"/>
    <w:rsid w:val="00AC7731"/>
    <w:rsid w:val="00AD75D2"/>
    <w:rsid w:val="00AE29ED"/>
    <w:rsid w:val="00AE6E72"/>
    <w:rsid w:val="00AF0ED9"/>
    <w:rsid w:val="00AF1180"/>
    <w:rsid w:val="00AF1212"/>
    <w:rsid w:val="00B11B77"/>
    <w:rsid w:val="00B1299B"/>
    <w:rsid w:val="00B22350"/>
    <w:rsid w:val="00B25656"/>
    <w:rsid w:val="00B376BE"/>
    <w:rsid w:val="00B41CCB"/>
    <w:rsid w:val="00B51A61"/>
    <w:rsid w:val="00B55D86"/>
    <w:rsid w:val="00B55E82"/>
    <w:rsid w:val="00B77FF3"/>
    <w:rsid w:val="00B95F31"/>
    <w:rsid w:val="00BA55FB"/>
    <w:rsid w:val="00BA6F15"/>
    <w:rsid w:val="00BC2388"/>
    <w:rsid w:val="00BC2B5E"/>
    <w:rsid w:val="00BD13FE"/>
    <w:rsid w:val="00BD2BA6"/>
    <w:rsid w:val="00BD4957"/>
    <w:rsid w:val="00BF209D"/>
    <w:rsid w:val="00BF229E"/>
    <w:rsid w:val="00C0052B"/>
    <w:rsid w:val="00C01B7A"/>
    <w:rsid w:val="00C128BD"/>
    <w:rsid w:val="00C22EB5"/>
    <w:rsid w:val="00C27E3C"/>
    <w:rsid w:val="00C54A02"/>
    <w:rsid w:val="00C623CF"/>
    <w:rsid w:val="00C635D1"/>
    <w:rsid w:val="00C6384C"/>
    <w:rsid w:val="00C6544B"/>
    <w:rsid w:val="00C81B13"/>
    <w:rsid w:val="00C83B88"/>
    <w:rsid w:val="00C9399F"/>
    <w:rsid w:val="00CB2765"/>
    <w:rsid w:val="00CC2065"/>
    <w:rsid w:val="00CC4CD6"/>
    <w:rsid w:val="00CD0BB9"/>
    <w:rsid w:val="00CD1076"/>
    <w:rsid w:val="00CD34C4"/>
    <w:rsid w:val="00CD7061"/>
    <w:rsid w:val="00CE2065"/>
    <w:rsid w:val="00D02ACC"/>
    <w:rsid w:val="00D2125C"/>
    <w:rsid w:val="00D226B0"/>
    <w:rsid w:val="00D3228B"/>
    <w:rsid w:val="00D3727F"/>
    <w:rsid w:val="00D6149C"/>
    <w:rsid w:val="00D677E2"/>
    <w:rsid w:val="00D750A7"/>
    <w:rsid w:val="00D8368A"/>
    <w:rsid w:val="00DA26A0"/>
    <w:rsid w:val="00DA27A9"/>
    <w:rsid w:val="00DA3003"/>
    <w:rsid w:val="00DA3588"/>
    <w:rsid w:val="00DB25E5"/>
    <w:rsid w:val="00DC0679"/>
    <w:rsid w:val="00DC7A67"/>
    <w:rsid w:val="00DD2170"/>
    <w:rsid w:val="00DD3D11"/>
    <w:rsid w:val="00DD6035"/>
    <w:rsid w:val="00DD74BE"/>
    <w:rsid w:val="00DE4CF0"/>
    <w:rsid w:val="00DF1DA8"/>
    <w:rsid w:val="00DF2E6C"/>
    <w:rsid w:val="00E03442"/>
    <w:rsid w:val="00E16899"/>
    <w:rsid w:val="00E317F4"/>
    <w:rsid w:val="00E44BF3"/>
    <w:rsid w:val="00E46F10"/>
    <w:rsid w:val="00E525E0"/>
    <w:rsid w:val="00E55CFD"/>
    <w:rsid w:val="00E63FE0"/>
    <w:rsid w:val="00E65401"/>
    <w:rsid w:val="00E66EEF"/>
    <w:rsid w:val="00E67A10"/>
    <w:rsid w:val="00E77AE7"/>
    <w:rsid w:val="00E9239C"/>
    <w:rsid w:val="00EA004D"/>
    <w:rsid w:val="00EA37DC"/>
    <w:rsid w:val="00EC039E"/>
    <w:rsid w:val="00ED747D"/>
    <w:rsid w:val="00ED7974"/>
    <w:rsid w:val="00EF2B00"/>
    <w:rsid w:val="00EF6691"/>
    <w:rsid w:val="00EF78D7"/>
    <w:rsid w:val="00F000BF"/>
    <w:rsid w:val="00F005F3"/>
    <w:rsid w:val="00F11EA0"/>
    <w:rsid w:val="00F1598D"/>
    <w:rsid w:val="00F237F6"/>
    <w:rsid w:val="00F338AB"/>
    <w:rsid w:val="00F4022A"/>
    <w:rsid w:val="00F44654"/>
    <w:rsid w:val="00F60E01"/>
    <w:rsid w:val="00F71E4C"/>
    <w:rsid w:val="00F82CA8"/>
    <w:rsid w:val="00F83301"/>
    <w:rsid w:val="00F84E15"/>
    <w:rsid w:val="00FA2A6D"/>
    <w:rsid w:val="00FA3DDA"/>
    <w:rsid w:val="00FA5C37"/>
    <w:rsid w:val="00FA6A65"/>
    <w:rsid w:val="00FB303E"/>
    <w:rsid w:val="00FC33EB"/>
    <w:rsid w:val="00FD6E59"/>
    <w:rsid w:val="00FE35E6"/>
    <w:rsid w:val="00FE4891"/>
    <w:rsid w:val="053C25A5"/>
    <w:rsid w:val="05A577A2"/>
    <w:rsid w:val="07125F5D"/>
    <w:rsid w:val="0AB61CF0"/>
    <w:rsid w:val="0B1E30CF"/>
    <w:rsid w:val="0B984021"/>
    <w:rsid w:val="0D721429"/>
    <w:rsid w:val="106C351C"/>
    <w:rsid w:val="14CF46D9"/>
    <w:rsid w:val="1A1B4EBB"/>
    <w:rsid w:val="1C0A573C"/>
    <w:rsid w:val="1E1978CA"/>
    <w:rsid w:val="2266488A"/>
    <w:rsid w:val="22F0628E"/>
    <w:rsid w:val="259359E6"/>
    <w:rsid w:val="273963D5"/>
    <w:rsid w:val="29312A3A"/>
    <w:rsid w:val="2A8C1ED5"/>
    <w:rsid w:val="2B493DC7"/>
    <w:rsid w:val="2FE04A9B"/>
    <w:rsid w:val="309862FC"/>
    <w:rsid w:val="316031FC"/>
    <w:rsid w:val="327052AF"/>
    <w:rsid w:val="341B15C2"/>
    <w:rsid w:val="34287D6E"/>
    <w:rsid w:val="34A855A3"/>
    <w:rsid w:val="359131CB"/>
    <w:rsid w:val="35F066A4"/>
    <w:rsid w:val="38C3535C"/>
    <w:rsid w:val="3A375C05"/>
    <w:rsid w:val="409A7B97"/>
    <w:rsid w:val="42324E44"/>
    <w:rsid w:val="425A1BED"/>
    <w:rsid w:val="43926C15"/>
    <w:rsid w:val="44F062F9"/>
    <w:rsid w:val="460B25C7"/>
    <w:rsid w:val="471B7726"/>
    <w:rsid w:val="48F90956"/>
    <w:rsid w:val="4C0D6A79"/>
    <w:rsid w:val="536C5018"/>
    <w:rsid w:val="539652EA"/>
    <w:rsid w:val="559E7995"/>
    <w:rsid w:val="579871DB"/>
    <w:rsid w:val="5A833671"/>
    <w:rsid w:val="5BF35086"/>
    <w:rsid w:val="5C783EDC"/>
    <w:rsid w:val="5E452A72"/>
    <w:rsid w:val="61DA1FF9"/>
    <w:rsid w:val="62640238"/>
    <w:rsid w:val="653952DD"/>
    <w:rsid w:val="65982141"/>
    <w:rsid w:val="66703971"/>
    <w:rsid w:val="6E326C08"/>
    <w:rsid w:val="6EDE588D"/>
    <w:rsid w:val="6FDA4560"/>
    <w:rsid w:val="706A53CD"/>
    <w:rsid w:val="759B07CC"/>
    <w:rsid w:val="76A44899"/>
    <w:rsid w:val="76A553AD"/>
    <w:rsid w:val="779241D4"/>
    <w:rsid w:val="78182CD9"/>
    <w:rsid w:val="79507314"/>
    <w:rsid w:val="7E9F12E1"/>
    <w:rsid w:val="7EAB39ED"/>
    <w:rsid w:val="7F78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A4EF28"/>
  <w15:docId w15:val="{CC4CBDC3-D445-47C2-A2AD-92B920704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pacing w:after="200" w:line="288" w:lineRule="auto"/>
    </w:pPr>
    <w:rPr>
      <w:rFonts w:asciiTheme="minorHAnsi" w:eastAsiaTheme="minorEastAsia" w:hAnsiTheme="minorHAnsi" w:cstheme="minorBidi"/>
      <w:sz w:val="21"/>
      <w:szCs w:val="21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caption"/>
    <w:basedOn w:val="a1"/>
    <w:next w:val="a1"/>
    <w:autoRedefine/>
    <w:uiPriority w:val="35"/>
    <w:semiHidden/>
    <w:unhideWhenUsed/>
    <w:qFormat/>
    <w:pPr>
      <w:spacing w:line="240" w:lineRule="auto"/>
    </w:pPr>
    <w:rPr>
      <w:b/>
      <w:bCs/>
      <w:smallCaps/>
      <w:color w:val="595959" w:themeColor="text1" w:themeTint="A6"/>
    </w:rPr>
  </w:style>
  <w:style w:type="paragraph" w:styleId="a6">
    <w:name w:val="footer"/>
    <w:basedOn w:val="a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header"/>
    <w:basedOn w:val="a1"/>
    <w:autoRedefine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8">
    <w:name w:val="Subtitle"/>
    <w:basedOn w:val="a1"/>
    <w:next w:val="a1"/>
    <w:link w:val="a9"/>
    <w:autoRedefine/>
    <w:uiPriority w:val="11"/>
    <w:qFormat/>
    <w:p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a">
    <w:name w:val="Title"/>
    <w:basedOn w:val="a1"/>
    <w:next w:val="a1"/>
    <w:link w:val="ab"/>
    <w:autoRedefine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styleId="ac">
    <w:name w:val="Strong"/>
    <w:basedOn w:val="a2"/>
    <w:uiPriority w:val="22"/>
    <w:qFormat/>
    <w:rPr>
      <w:b/>
      <w:bCs/>
    </w:rPr>
  </w:style>
  <w:style w:type="character" w:styleId="ad">
    <w:name w:val="Emphasis"/>
    <w:basedOn w:val="a2"/>
    <w:uiPriority w:val="20"/>
    <w:qFormat/>
    <w:rPr>
      <w:i/>
      <w:iCs/>
      <w:color w:val="70AD47" w:themeColor="accent6"/>
    </w:rPr>
  </w:style>
  <w:style w:type="character" w:styleId="ae">
    <w:name w:val="Hyperlink"/>
    <w:basedOn w:val="a2"/>
    <w:uiPriority w:val="99"/>
    <w:semiHidden/>
    <w:unhideWhenUsed/>
    <w:qFormat/>
    <w:rPr>
      <w:color w:val="0000FF"/>
      <w:u w:val="single"/>
    </w:rPr>
  </w:style>
  <w:style w:type="paragraph" w:styleId="af">
    <w:name w:val="List Paragraph"/>
    <w:basedOn w:val="a1"/>
    <w:autoRedefine/>
    <w:uiPriority w:val="34"/>
    <w:qFormat/>
    <w:pPr>
      <w:ind w:firstLineChars="200" w:firstLine="420"/>
    </w:pPr>
  </w:style>
  <w:style w:type="character" w:customStyle="1" w:styleId="10">
    <w:name w:val="标题 1 字符"/>
    <w:basedOn w:val="a2"/>
    <w:link w:val="1"/>
    <w:uiPriority w:val="9"/>
    <w:qFormat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20">
    <w:name w:val="标题 2 字符"/>
    <w:basedOn w:val="a2"/>
    <w:link w:val="2"/>
    <w:autoRedefine/>
    <w:uiPriority w:val="9"/>
    <w:semiHidden/>
    <w:qFormat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0">
    <w:name w:val="标题 3 字符"/>
    <w:basedOn w:val="a2"/>
    <w:link w:val="3"/>
    <w:uiPriority w:val="9"/>
    <w:semiHidden/>
    <w:qFormat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0">
    <w:name w:val="标题 4 字符"/>
    <w:basedOn w:val="a2"/>
    <w:link w:val="4"/>
    <w:uiPriority w:val="9"/>
    <w:semiHidden/>
    <w:qFormat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0">
    <w:name w:val="标题 5 字符"/>
    <w:basedOn w:val="a2"/>
    <w:link w:val="5"/>
    <w:autoRedefine/>
    <w:uiPriority w:val="9"/>
    <w:semiHidden/>
    <w:qFormat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0">
    <w:name w:val="标题 6 字符"/>
    <w:basedOn w:val="a2"/>
    <w:link w:val="6"/>
    <w:autoRedefine/>
    <w:uiPriority w:val="9"/>
    <w:semiHidden/>
    <w:qFormat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标题 7 字符"/>
    <w:basedOn w:val="a2"/>
    <w:link w:val="7"/>
    <w:autoRedefine/>
    <w:uiPriority w:val="9"/>
    <w:semiHidden/>
    <w:qFormat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0">
    <w:name w:val="标题 8 字符"/>
    <w:basedOn w:val="a2"/>
    <w:link w:val="8"/>
    <w:autoRedefine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标题 9 字符"/>
    <w:basedOn w:val="a2"/>
    <w:link w:val="9"/>
    <w:autoRedefine/>
    <w:uiPriority w:val="9"/>
    <w:semiHidden/>
    <w:qFormat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customStyle="1" w:styleId="ab">
    <w:name w:val="标题 字符"/>
    <w:basedOn w:val="a2"/>
    <w:link w:val="aa"/>
    <w:autoRedefine/>
    <w:uiPriority w:val="10"/>
    <w:qFormat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9">
    <w:name w:val="副标题 字符"/>
    <w:basedOn w:val="a2"/>
    <w:link w:val="a8"/>
    <w:autoRedefine/>
    <w:uiPriority w:val="11"/>
    <w:qFormat/>
    <w:rPr>
      <w:rFonts w:asciiTheme="majorHAnsi" w:eastAsiaTheme="majorEastAsia" w:hAnsiTheme="majorHAnsi" w:cstheme="majorBidi"/>
      <w:sz w:val="30"/>
      <w:szCs w:val="30"/>
    </w:rPr>
  </w:style>
  <w:style w:type="paragraph" w:styleId="af0">
    <w:name w:val="No Spacing"/>
    <w:uiPriority w:val="1"/>
    <w:qFormat/>
    <w:rPr>
      <w:rFonts w:asciiTheme="minorHAnsi" w:eastAsiaTheme="minorEastAsia" w:hAnsiTheme="minorHAnsi" w:cstheme="minorBidi"/>
      <w:sz w:val="21"/>
      <w:szCs w:val="21"/>
    </w:rPr>
  </w:style>
  <w:style w:type="paragraph" w:styleId="af1">
    <w:name w:val="Quote"/>
    <w:basedOn w:val="a1"/>
    <w:next w:val="a1"/>
    <w:link w:val="af2"/>
    <w:uiPriority w:val="29"/>
    <w:qFormat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af2">
    <w:name w:val="引用 字符"/>
    <w:basedOn w:val="a2"/>
    <w:link w:val="af1"/>
    <w:autoRedefine/>
    <w:uiPriority w:val="29"/>
    <w:qFormat/>
    <w:rPr>
      <w:i/>
      <w:iCs/>
      <w:color w:val="262626" w:themeColor="text1" w:themeTint="D9"/>
    </w:rPr>
  </w:style>
  <w:style w:type="paragraph" w:styleId="af3">
    <w:name w:val="Intense Quote"/>
    <w:basedOn w:val="a1"/>
    <w:next w:val="a1"/>
    <w:link w:val="af4"/>
    <w:autoRedefine/>
    <w:uiPriority w:val="30"/>
    <w:qFormat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4">
    <w:name w:val="明显引用 字符"/>
    <w:basedOn w:val="a2"/>
    <w:link w:val="af3"/>
    <w:autoRedefine/>
    <w:uiPriority w:val="30"/>
    <w:qFormat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11">
    <w:name w:val="不明显强调1"/>
    <w:basedOn w:val="a2"/>
    <w:autoRedefine/>
    <w:uiPriority w:val="19"/>
    <w:qFormat/>
    <w:rPr>
      <w:i/>
      <w:iCs/>
    </w:rPr>
  </w:style>
  <w:style w:type="character" w:customStyle="1" w:styleId="12">
    <w:name w:val="明显强调1"/>
    <w:basedOn w:val="a2"/>
    <w:autoRedefine/>
    <w:uiPriority w:val="21"/>
    <w:qFormat/>
    <w:rPr>
      <w:b/>
      <w:bCs/>
      <w:i/>
      <w:iCs/>
    </w:rPr>
  </w:style>
  <w:style w:type="character" w:customStyle="1" w:styleId="13">
    <w:name w:val="不明显参考1"/>
    <w:basedOn w:val="a2"/>
    <w:autoRedefine/>
    <w:uiPriority w:val="31"/>
    <w:qFormat/>
    <w:rPr>
      <w:smallCaps/>
      <w:color w:val="595959" w:themeColor="text1" w:themeTint="A6"/>
    </w:rPr>
  </w:style>
  <w:style w:type="character" w:customStyle="1" w:styleId="14">
    <w:name w:val="明显参考1"/>
    <w:basedOn w:val="a2"/>
    <w:autoRedefine/>
    <w:uiPriority w:val="32"/>
    <w:qFormat/>
    <w:rPr>
      <w:b/>
      <w:bCs/>
      <w:smallCaps/>
      <w:color w:val="70AD47" w:themeColor="accent6"/>
    </w:rPr>
  </w:style>
  <w:style w:type="character" w:customStyle="1" w:styleId="15">
    <w:name w:val="书籍标题1"/>
    <w:basedOn w:val="a2"/>
    <w:autoRedefine/>
    <w:uiPriority w:val="33"/>
    <w:qFormat/>
    <w:rPr>
      <w:b/>
      <w:bCs/>
      <w:smallCaps/>
      <w:spacing w:val="7"/>
      <w:sz w:val="21"/>
      <w:szCs w:val="21"/>
    </w:rPr>
  </w:style>
  <w:style w:type="paragraph" w:customStyle="1" w:styleId="TOC1">
    <w:name w:val="TOC 标题1"/>
    <w:basedOn w:val="1"/>
    <w:next w:val="a1"/>
    <w:autoRedefine/>
    <w:uiPriority w:val="39"/>
    <w:semiHidden/>
    <w:unhideWhenUsed/>
    <w:qFormat/>
    <w:pPr>
      <w:outlineLvl w:val="9"/>
    </w:pPr>
  </w:style>
  <w:style w:type="paragraph" w:customStyle="1" w:styleId="af5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0">
    <w:name w:val="一级条标题"/>
    <w:next w:val="af5"/>
    <w:qFormat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f5"/>
    <w:qFormat/>
    <w:pPr>
      <w:numPr>
        <w:numId w:val="1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05F732-A131-4B19-9BD8-B239B5D5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726</Words>
  <Characters>4141</Characters>
  <Application>Microsoft Office Word</Application>
  <DocSecurity>0</DocSecurity>
  <Lines>34</Lines>
  <Paragraphs>9</Paragraphs>
  <ScaleCrop>false</ScaleCrop>
  <Company>JXAF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306</cp:revision>
  <dcterms:created xsi:type="dcterms:W3CDTF">2019-09-15T02:46:00Z</dcterms:created>
  <dcterms:modified xsi:type="dcterms:W3CDTF">2024-08-28T15:28:00Z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0883C075548142A18388F0AF68009CBB_13</vt:lpwstr>
  </property>
</Properties>
</file>